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2CA2" w14:textId="68C4B0F2" w:rsidR="000E449D" w:rsidRDefault="000E449D" w:rsidP="000E449D">
      <w:pPr>
        <w:jc w:val="center"/>
        <w:rPr>
          <w:b/>
          <w:sz w:val="40"/>
          <w:szCs w:val="40"/>
        </w:rPr>
      </w:pPr>
      <w:r>
        <w:rPr>
          <w:rFonts w:ascii="Times New Roman" w:hAnsi="Times New Roman" w:cs="Times New Roman"/>
          <w:noProof/>
          <w:color w:val="1F497D"/>
          <w:sz w:val="24"/>
          <w:szCs w:val="24"/>
          <w:lang w:eastAsia="en-GB"/>
        </w:rPr>
        <w:drawing>
          <wp:inline distT="0" distB="0" distL="0" distR="0" wp14:anchorId="19508BB2" wp14:editId="270147C4">
            <wp:extent cx="2781300" cy="685800"/>
            <wp:effectExtent l="0" t="0" r="0" b="0"/>
            <wp:docPr id="83517825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78252" name="Picture 1" descr="A close up of a logo&#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81300" cy="685800"/>
                    </a:xfrm>
                    <a:prstGeom prst="rect">
                      <a:avLst/>
                    </a:prstGeom>
                    <a:noFill/>
                    <a:ln>
                      <a:noFill/>
                    </a:ln>
                  </pic:spPr>
                </pic:pic>
              </a:graphicData>
            </a:graphic>
          </wp:inline>
        </w:drawing>
      </w:r>
    </w:p>
    <w:p w14:paraId="071624A3" w14:textId="77777777" w:rsidR="000E449D" w:rsidRDefault="000E449D" w:rsidP="000E449D">
      <w:pPr>
        <w:rPr>
          <w:b/>
          <w:sz w:val="40"/>
          <w:szCs w:val="40"/>
        </w:rPr>
      </w:pPr>
    </w:p>
    <w:p w14:paraId="77883643" w14:textId="77777777" w:rsidR="000E449D" w:rsidRDefault="000E449D" w:rsidP="000E449D">
      <w:pPr>
        <w:rPr>
          <w:b/>
          <w:sz w:val="40"/>
          <w:szCs w:val="40"/>
        </w:rPr>
      </w:pPr>
    </w:p>
    <w:p w14:paraId="3F969942" w14:textId="77777777" w:rsidR="000E449D" w:rsidRPr="00D145B4" w:rsidRDefault="000E449D" w:rsidP="000E449D">
      <w:pPr>
        <w:rPr>
          <w:b/>
          <w:sz w:val="40"/>
          <w:szCs w:val="40"/>
        </w:rPr>
      </w:pPr>
    </w:p>
    <w:p w14:paraId="0F8248A1" w14:textId="77777777" w:rsidR="000E449D" w:rsidRDefault="000E449D" w:rsidP="000E449D">
      <w:pPr>
        <w:jc w:val="center"/>
        <w:rPr>
          <w:b/>
          <w:sz w:val="52"/>
          <w:szCs w:val="52"/>
        </w:rPr>
      </w:pPr>
      <w:r>
        <w:rPr>
          <w:b/>
          <w:sz w:val="52"/>
          <w:szCs w:val="52"/>
        </w:rPr>
        <w:t xml:space="preserve">South Lanarkshire </w:t>
      </w:r>
    </w:p>
    <w:p w14:paraId="1428FF30" w14:textId="1F12FB9F" w:rsidR="000E449D" w:rsidRPr="002437B1" w:rsidRDefault="000E449D" w:rsidP="000E449D">
      <w:pPr>
        <w:jc w:val="center"/>
        <w:rPr>
          <w:b/>
          <w:sz w:val="52"/>
          <w:szCs w:val="52"/>
        </w:rPr>
      </w:pPr>
      <w:r>
        <w:rPr>
          <w:b/>
          <w:sz w:val="52"/>
          <w:szCs w:val="52"/>
        </w:rPr>
        <w:t xml:space="preserve">When </w:t>
      </w:r>
      <w:r w:rsidR="001F2EFA">
        <w:rPr>
          <w:b/>
          <w:sz w:val="52"/>
          <w:szCs w:val="52"/>
        </w:rPr>
        <w:t>s</w:t>
      </w:r>
      <w:r>
        <w:rPr>
          <w:b/>
          <w:sz w:val="52"/>
          <w:szCs w:val="52"/>
        </w:rPr>
        <w:t xml:space="preserve">ervices find it </w:t>
      </w:r>
      <w:r w:rsidR="001F2EFA" w:rsidRPr="001F2EFA">
        <w:rPr>
          <w:b/>
          <w:sz w:val="52"/>
          <w:szCs w:val="52"/>
        </w:rPr>
        <w:t>d</w:t>
      </w:r>
      <w:r w:rsidR="006C35C3" w:rsidRPr="001F2EFA">
        <w:rPr>
          <w:b/>
          <w:sz w:val="52"/>
          <w:szCs w:val="52"/>
        </w:rPr>
        <w:t>ifficult</w:t>
      </w:r>
      <w:r>
        <w:rPr>
          <w:b/>
          <w:sz w:val="52"/>
          <w:szCs w:val="52"/>
        </w:rPr>
        <w:t xml:space="preserve"> to </w:t>
      </w:r>
      <w:r w:rsidR="001F2EFA">
        <w:rPr>
          <w:b/>
          <w:sz w:val="52"/>
          <w:szCs w:val="52"/>
        </w:rPr>
        <w:t>e</w:t>
      </w:r>
      <w:r>
        <w:rPr>
          <w:b/>
          <w:sz w:val="52"/>
          <w:szCs w:val="52"/>
        </w:rPr>
        <w:t xml:space="preserve">ngage with </w:t>
      </w:r>
      <w:r w:rsidR="001F2EFA">
        <w:rPr>
          <w:b/>
          <w:sz w:val="52"/>
          <w:szCs w:val="52"/>
        </w:rPr>
        <w:t>a</w:t>
      </w:r>
      <w:r>
        <w:rPr>
          <w:b/>
          <w:sz w:val="52"/>
          <w:szCs w:val="52"/>
        </w:rPr>
        <w:t xml:space="preserve">dults and/or their </w:t>
      </w:r>
      <w:r w:rsidR="001F2EFA">
        <w:rPr>
          <w:b/>
          <w:sz w:val="52"/>
          <w:szCs w:val="52"/>
        </w:rPr>
        <w:t>c</w:t>
      </w:r>
      <w:r>
        <w:rPr>
          <w:b/>
          <w:sz w:val="52"/>
          <w:szCs w:val="52"/>
        </w:rPr>
        <w:t>arers</w:t>
      </w:r>
    </w:p>
    <w:p w14:paraId="03D29ED8" w14:textId="77777777" w:rsidR="000E449D" w:rsidRDefault="000E449D" w:rsidP="000E449D">
      <w:pPr>
        <w:jc w:val="center"/>
        <w:rPr>
          <w:b/>
          <w:sz w:val="52"/>
          <w:szCs w:val="52"/>
        </w:rPr>
      </w:pPr>
    </w:p>
    <w:p w14:paraId="159785ED" w14:textId="77777777" w:rsidR="001F2EFA" w:rsidRDefault="001F2EFA" w:rsidP="000E449D">
      <w:pPr>
        <w:jc w:val="center"/>
        <w:rPr>
          <w:b/>
          <w:sz w:val="52"/>
          <w:szCs w:val="52"/>
        </w:rPr>
      </w:pPr>
    </w:p>
    <w:p w14:paraId="4224861B" w14:textId="77777777" w:rsidR="000E449D" w:rsidRPr="005C5684" w:rsidRDefault="000E449D" w:rsidP="000E449D">
      <w:pPr>
        <w:jc w:val="center"/>
        <w:rPr>
          <w:b/>
          <w:sz w:val="52"/>
          <w:szCs w:val="52"/>
        </w:rPr>
      </w:pPr>
      <w:r>
        <w:rPr>
          <w:b/>
          <w:sz w:val="52"/>
          <w:szCs w:val="52"/>
        </w:rPr>
        <w:t xml:space="preserve"> Multi Agency Guidance</w:t>
      </w:r>
    </w:p>
    <w:p w14:paraId="0E399826" w14:textId="77777777" w:rsidR="000E449D" w:rsidRPr="00A20A04" w:rsidRDefault="000E449D" w:rsidP="000E449D">
      <w:pPr>
        <w:jc w:val="center"/>
        <w:rPr>
          <w:b/>
          <w:sz w:val="40"/>
          <w:szCs w:val="40"/>
        </w:rPr>
      </w:pPr>
      <w:r w:rsidRPr="00A20A04">
        <w:rPr>
          <w:b/>
          <w:sz w:val="40"/>
          <w:szCs w:val="40"/>
        </w:rPr>
        <w:t>202</w:t>
      </w:r>
      <w:r>
        <w:rPr>
          <w:b/>
          <w:sz w:val="40"/>
          <w:szCs w:val="40"/>
        </w:rPr>
        <w:t>6</w:t>
      </w:r>
    </w:p>
    <w:p w14:paraId="528E9137" w14:textId="77777777" w:rsidR="000E449D" w:rsidRDefault="000E449D" w:rsidP="000E449D">
      <w:pPr>
        <w:rPr>
          <w:b/>
          <w:sz w:val="32"/>
          <w:szCs w:val="32"/>
        </w:rPr>
      </w:pPr>
    </w:p>
    <w:p w14:paraId="4265D9A6" w14:textId="77777777" w:rsidR="000E449D" w:rsidRPr="004A7490" w:rsidRDefault="000E449D" w:rsidP="000E449D">
      <w:pPr>
        <w:jc w:val="center"/>
        <w:rPr>
          <w:b/>
          <w:color w:val="EE0000"/>
          <w:sz w:val="40"/>
          <w:szCs w:val="40"/>
        </w:rPr>
      </w:pPr>
    </w:p>
    <w:p w14:paraId="585B9A02" w14:textId="77777777" w:rsidR="000E449D" w:rsidRDefault="000E449D" w:rsidP="000E449D">
      <w:pPr>
        <w:rPr>
          <w:b/>
          <w:sz w:val="32"/>
          <w:szCs w:val="32"/>
        </w:rPr>
      </w:pPr>
    </w:p>
    <w:p w14:paraId="4D301D5C" w14:textId="77777777" w:rsidR="000E449D" w:rsidRDefault="000E449D" w:rsidP="000E449D">
      <w:pPr>
        <w:rPr>
          <w:b/>
          <w:sz w:val="32"/>
          <w:szCs w:val="32"/>
        </w:rPr>
      </w:pPr>
    </w:p>
    <w:p w14:paraId="49E33C12" w14:textId="77777777" w:rsidR="000E449D" w:rsidRDefault="000E449D" w:rsidP="000E449D">
      <w:pPr>
        <w:rPr>
          <w:b/>
          <w:sz w:val="32"/>
          <w:szCs w:val="32"/>
        </w:rPr>
      </w:pPr>
    </w:p>
    <w:p w14:paraId="2D845CBA" w14:textId="77777777" w:rsidR="000E449D" w:rsidRDefault="000E449D" w:rsidP="000E449D">
      <w:pPr>
        <w:rPr>
          <w:rStyle w:val="Hyperlink"/>
          <w:color w:val="000000" w:themeColor="text1"/>
        </w:rPr>
      </w:pPr>
      <w:r>
        <w:rPr>
          <w:rStyle w:val="Hyperlink"/>
          <w:color w:val="000000" w:themeColor="text1"/>
        </w:rPr>
        <w:t>Published: March 2026</w:t>
      </w:r>
    </w:p>
    <w:p w14:paraId="49E60B69" w14:textId="77777777" w:rsidR="000E449D" w:rsidRDefault="000E449D" w:rsidP="000E449D">
      <w:pPr>
        <w:rPr>
          <w:rStyle w:val="Hyperlink"/>
          <w:color w:val="000000" w:themeColor="text1"/>
        </w:rPr>
      </w:pPr>
      <w:r>
        <w:rPr>
          <w:rStyle w:val="Hyperlink"/>
          <w:color w:val="000000" w:themeColor="text1"/>
        </w:rPr>
        <w:t>Review Date: March 2029</w:t>
      </w:r>
    </w:p>
    <w:p w14:paraId="64E2C070" w14:textId="77777777" w:rsidR="000E449D" w:rsidRDefault="000E449D" w:rsidP="000E449D">
      <w:pPr>
        <w:spacing w:line="240" w:lineRule="auto"/>
        <w:jc w:val="both"/>
        <w:rPr>
          <w:rFonts w:cstheme="minorHAnsi"/>
          <w:b/>
          <w:bCs/>
          <w:sz w:val="24"/>
          <w:szCs w:val="24"/>
          <w:u w:val="single"/>
        </w:rPr>
      </w:pPr>
    </w:p>
    <w:p w14:paraId="68447ECD" w14:textId="77777777" w:rsidR="00473E52" w:rsidRDefault="00473E52" w:rsidP="000E449D">
      <w:pPr>
        <w:spacing w:line="240" w:lineRule="auto"/>
        <w:jc w:val="both"/>
        <w:rPr>
          <w:rFonts w:cstheme="minorHAnsi"/>
          <w:b/>
          <w:bCs/>
          <w:sz w:val="24"/>
          <w:szCs w:val="24"/>
          <w:u w:val="single"/>
        </w:rPr>
      </w:pPr>
    </w:p>
    <w:p w14:paraId="2552D1E2" w14:textId="16B992E1" w:rsidR="000E449D" w:rsidRPr="000858F6" w:rsidRDefault="000E449D" w:rsidP="000E449D">
      <w:pPr>
        <w:spacing w:line="240" w:lineRule="auto"/>
        <w:jc w:val="both"/>
        <w:rPr>
          <w:rFonts w:ascii="Arial" w:hAnsi="Arial" w:cs="Arial"/>
          <w:b/>
          <w:bCs/>
          <w:u w:val="single"/>
        </w:rPr>
      </w:pPr>
      <w:r w:rsidRPr="000858F6">
        <w:rPr>
          <w:rFonts w:ascii="Arial" w:hAnsi="Arial" w:cs="Arial"/>
          <w:b/>
          <w:bCs/>
          <w:u w:val="single"/>
        </w:rPr>
        <w:lastRenderedPageBreak/>
        <w:t>Introduction</w:t>
      </w:r>
    </w:p>
    <w:p w14:paraId="4379D28E" w14:textId="5DDA3BF7" w:rsidR="000E449D" w:rsidRPr="000858F6" w:rsidRDefault="000E449D" w:rsidP="000E449D">
      <w:pPr>
        <w:spacing w:line="240" w:lineRule="auto"/>
        <w:jc w:val="both"/>
        <w:rPr>
          <w:rFonts w:ascii="Arial" w:hAnsi="Arial" w:cs="Arial"/>
          <w:b/>
          <w:bCs/>
        </w:rPr>
      </w:pPr>
      <w:r w:rsidRPr="000858F6">
        <w:rPr>
          <w:rFonts w:ascii="Arial" w:hAnsi="Arial" w:cs="Arial"/>
        </w:rPr>
        <w:t xml:space="preserve">This multi-agency guidance aims to support practitioners and managers working across all agencies </w:t>
      </w:r>
      <w:r w:rsidR="00EB66FE" w:rsidRPr="000858F6">
        <w:rPr>
          <w:rFonts w:ascii="Arial" w:hAnsi="Arial" w:cs="Arial"/>
        </w:rPr>
        <w:t>i</w:t>
      </w:r>
      <w:r w:rsidRPr="000858F6">
        <w:rPr>
          <w:rFonts w:ascii="Arial" w:hAnsi="Arial" w:cs="Arial"/>
        </w:rPr>
        <w:t xml:space="preserve">n South Lanarkshire, who are finding it </w:t>
      </w:r>
      <w:r w:rsidR="006C35C3">
        <w:rPr>
          <w:rFonts w:ascii="Arial" w:hAnsi="Arial" w:cs="Arial"/>
        </w:rPr>
        <w:t>difficult</w:t>
      </w:r>
      <w:r w:rsidRPr="000858F6">
        <w:rPr>
          <w:rFonts w:ascii="Arial" w:hAnsi="Arial" w:cs="Arial"/>
        </w:rPr>
        <w:t xml:space="preserve"> to engage with adults and/or their carers within the Adult Support and Protection process. </w:t>
      </w:r>
    </w:p>
    <w:p w14:paraId="338F6941" w14:textId="2C1AAE24" w:rsidR="000E449D" w:rsidRPr="000858F6" w:rsidRDefault="000E449D" w:rsidP="000E449D">
      <w:pPr>
        <w:spacing w:line="240" w:lineRule="auto"/>
        <w:jc w:val="both"/>
        <w:rPr>
          <w:rFonts w:ascii="Arial" w:hAnsi="Arial" w:cs="Arial"/>
        </w:rPr>
      </w:pPr>
      <w:r w:rsidRPr="000858F6">
        <w:rPr>
          <w:rFonts w:ascii="Arial" w:hAnsi="Arial" w:cs="Arial"/>
        </w:rPr>
        <w:t xml:space="preserve">The nature of adult </w:t>
      </w:r>
      <w:r w:rsidR="000858F6">
        <w:rPr>
          <w:rFonts w:ascii="Arial" w:hAnsi="Arial" w:cs="Arial"/>
        </w:rPr>
        <w:t xml:space="preserve">support and </w:t>
      </w:r>
      <w:r w:rsidRPr="000858F6">
        <w:rPr>
          <w:rFonts w:ascii="Arial" w:hAnsi="Arial" w:cs="Arial"/>
        </w:rPr>
        <w:t xml:space="preserve">protection work can at times result in the adult and/or their carers feeling angry, </w:t>
      </w:r>
      <w:r w:rsidRPr="000858F6">
        <w:rPr>
          <w:rFonts w:ascii="Arial" w:hAnsi="Arial" w:cs="Arial"/>
          <w:color w:val="000000" w:themeColor="text1"/>
        </w:rPr>
        <w:t xml:space="preserve">confused, frightened, and upset </w:t>
      </w:r>
      <w:r w:rsidRPr="000858F6">
        <w:rPr>
          <w:rFonts w:ascii="Arial" w:hAnsi="Arial" w:cs="Arial"/>
        </w:rPr>
        <w:t xml:space="preserve">and they can react in a challenging way towards professionals who are trying to support them. </w:t>
      </w:r>
    </w:p>
    <w:p w14:paraId="2BAB6984" w14:textId="69FBA7C5" w:rsidR="000E64E8" w:rsidRDefault="000E449D" w:rsidP="000E449D">
      <w:pPr>
        <w:spacing w:line="240" w:lineRule="auto"/>
        <w:jc w:val="both"/>
        <w:rPr>
          <w:rFonts w:ascii="Arial" w:hAnsi="Arial" w:cs="Arial"/>
        </w:rPr>
      </w:pPr>
      <w:r w:rsidRPr="000858F6">
        <w:rPr>
          <w:rFonts w:ascii="Arial" w:hAnsi="Arial" w:cs="Arial"/>
        </w:rPr>
        <w:t xml:space="preserve">Evidence shows that some adults may evade practitioners’ interventions aimed at protecting them. In other </w:t>
      </w:r>
      <w:r w:rsidR="00EB66FE" w:rsidRPr="000858F6">
        <w:rPr>
          <w:rFonts w:ascii="Arial" w:hAnsi="Arial" w:cs="Arial"/>
        </w:rPr>
        <w:t>cases,</w:t>
      </w:r>
      <w:r w:rsidRPr="000858F6">
        <w:rPr>
          <w:rFonts w:ascii="Arial" w:hAnsi="Arial" w:cs="Arial"/>
        </w:rPr>
        <w:t xml:space="preserve"> involving harm or abuse, this may be a strategy adopted by the adult’s carers. In working to overcome this, practitioners should always consider the potential reasons and motivations which may impact on an </w:t>
      </w:r>
      <w:r w:rsidR="00EB66FE" w:rsidRPr="000858F6">
        <w:rPr>
          <w:rFonts w:ascii="Arial" w:hAnsi="Arial" w:cs="Arial"/>
        </w:rPr>
        <w:t>adult’s</w:t>
      </w:r>
      <w:r w:rsidRPr="000858F6">
        <w:rPr>
          <w:rFonts w:ascii="Arial" w:hAnsi="Arial" w:cs="Arial"/>
        </w:rPr>
        <w:t xml:space="preserve"> behaviour, with agencies having cognisance of the potential impact of trauma, undue pressure</w:t>
      </w:r>
      <w:r w:rsidR="000E64E8">
        <w:rPr>
          <w:rFonts w:ascii="Arial" w:hAnsi="Arial" w:cs="Arial"/>
        </w:rPr>
        <w:t xml:space="preserve">, </w:t>
      </w:r>
      <w:r w:rsidRPr="000858F6">
        <w:rPr>
          <w:rFonts w:ascii="Arial" w:hAnsi="Arial" w:cs="Arial"/>
        </w:rPr>
        <w:t xml:space="preserve">and other factors when supporting adults. </w:t>
      </w:r>
    </w:p>
    <w:p w14:paraId="1FC5AA06" w14:textId="42DCCCD9" w:rsidR="000E449D" w:rsidRDefault="000E449D" w:rsidP="000E449D">
      <w:pPr>
        <w:spacing w:line="240" w:lineRule="auto"/>
        <w:jc w:val="both"/>
        <w:rPr>
          <w:rFonts w:ascii="Arial" w:hAnsi="Arial" w:cs="Arial"/>
        </w:rPr>
      </w:pPr>
      <w:r w:rsidRPr="000858F6">
        <w:rPr>
          <w:rFonts w:ascii="Arial" w:hAnsi="Arial" w:cs="Arial"/>
        </w:rPr>
        <w:t>Trauma informed practice supports practitioners to recognise the long-term impact of trauma and how it can affect the adult’s response to accepting support and their ability to protect themselves.</w:t>
      </w:r>
    </w:p>
    <w:p w14:paraId="4B5BF374" w14:textId="44D128D2" w:rsidR="001F2EFA" w:rsidRDefault="001F2EFA" w:rsidP="000E449D">
      <w:pPr>
        <w:spacing w:line="240" w:lineRule="auto"/>
        <w:jc w:val="both"/>
        <w:rPr>
          <w:rFonts w:ascii="Arial" w:hAnsi="Arial" w:cs="Arial"/>
        </w:rPr>
      </w:pPr>
      <w:r>
        <w:rPr>
          <w:rFonts w:ascii="Arial" w:hAnsi="Arial" w:cs="Arial"/>
        </w:rPr>
        <w:t>Practitioners should also be aware of how neurodivergence can play a role in some adult’s ability to engage with services. Differences in communication, sensory processing and social interactions for example,</w:t>
      </w:r>
      <w:r w:rsidR="00473E52">
        <w:rPr>
          <w:rFonts w:ascii="Arial" w:hAnsi="Arial" w:cs="Arial"/>
        </w:rPr>
        <w:t xml:space="preserve"> can</w:t>
      </w:r>
      <w:r>
        <w:rPr>
          <w:rFonts w:ascii="Arial" w:hAnsi="Arial" w:cs="Arial"/>
        </w:rPr>
        <w:t xml:space="preserve"> significantly shape how </w:t>
      </w:r>
      <w:r w:rsidR="00473E52">
        <w:rPr>
          <w:rFonts w:ascii="Arial" w:hAnsi="Arial" w:cs="Arial"/>
        </w:rPr>
        <w:t>a</w:t>
      </w:r>
      <w:r>
        <w:rPr>
          <w:rFonts w:ascii="Arial" w:hAnsi="Arial" w:cs="Arial"/>
        </w:rPr>
        <w:t xml:space="preserve"> person experiences the world. What may appear as ‘resistant’ or a lack of motivation, may be a sign that the environment, expectations or communication style are not meeting the individual’s needs. By reorganising and valuing neurodiverse ways of thinking and responding, practitioners can shift from trying to ‘fix’ </w:t>
      </w:r>
      <w:r w:rsidR="00473E52">
        <w:rPr>
          <w:rFonts w:ascii="Arial" w:hAnsi="Arial" w:cs="Arial"/>
        </w:rPr>
        <w:t>behaviours</w:t>
      </w:r>
      <w:r>
        <w:rPr>
          <w:rFonts w:ascii="Arial" w:hAnsi="Arial" w:cs="Arial"/>
        </w:rPr>
        <w:t>, to adopting their own approach to engagement. This can include using clearer communication, offering choice, reducing sensory overload and building on the person’s strengths. This can not only improve engagement and trust, but promotes dignity, respect an</w:t>
      </w:r>
      <w:r w:rsidR="00CA3DE5">
        <w:rPr>
          <w:rFonts w:ascii="Arial" w:hAnsi="Arial" w:cs="Arial"/>
        </w:rPr>
        <w:t>d</w:t>
      </w:r>
      <w:r w:rsidR="00473E52">
        <w:rPr>
          <w:rFonts w:ascii="Arial" w:hAnsi="Arial" w:cs="Arial"/>
        </w:rPr>
        <w:t xml:space="preserve"> can lead to</w:t>
      </w:r>
      <w:r>
        <w:rPr>
          <w:rFonts w:ascii="Arial" w:hAnsi="Arial" w:cs="Arial"/>
        </w:rPr>
        <w:t xml:space="preserve"> more meaningful, effective support. </w:t>
      </w:r>
    </w:p>
    <w:p w14:paraId="7D185FA0" w14:textId="21978C33" w:rsidR="000E449D" w:rsidRDefault="000E449D" w:rsidP="000E449D">
      <w:pPr>
        <w:spacing w:line="240" w:lineRule="auto"/>
        <w:jc w:val="both"/>
        <w:rPr>
          <w:rFonts w:ascii="Arial" w:hAnsi="Arial" w:cs="Arial"/>
        </w:rPr>
      </w:pPr>
      <w:r w:rsidRPr="000858F6">
        <w:rPr>
          <w:rFonts w:ascii="Arial" w:hAnsi="Arial" w:cs="Arial"/>
        </w:rPr>
        <w:t xml:space="preserve">Agencies should consider if their day-to-day procedures and protocols include practical measures to promote the safety of staff who have direct contact with adults and their carers’.  This should include a process for staff to have the opportunity for de-briefing after any incident. </w:t>
      </w:r>
    </w:p>
    <w:p w14:paraId="791B50C1" w14:textId="38FA5B9D" w:rsidR="000E64E8" w:rsidRPr="000E64E8" w:rsidRDefault="000E64E8" w:rsidP="000E64E8">
      <w:pPr>
        <w:spacing w:line="276" w:lineRule="auto"/>
        <w:jc w:val="both"/>
        <w:rPr>
          <w:rFonts w:ascii="Arial" w:hAnsi="Arial" w:cs="Arial"/>
          <w:shd w:val="clear" w:color="auto" w:fill="FFFFFF"/>
        </w:rPr>
      </w:pPr>
      <w:r w:rsidRPr="000858F6">
        <w:rPr>
          <w:rFonts w:ascii="Arial" w:hAnsi="Arial" w:cs="Arial"/>
          <w:shd w:val="clear" w:color="auto" w:fill="FFFFFF"/>
        </w:rPr>
        <w:t xml:space="preserve">Any professional or agency faced with incidents of threats, hostility or violence should routinely consider the potential implications for any other professional or agency involved with the family in addition to the implications for themselves and should alert </w:t>
      </w:r>
      <w:r>
        <w:rPr>
          <w:rFonts w:ascii="Arial" w:hAnsi="Arial" w:cs="Arial"/>
          <w:shd w:val="clear" w:color="auto" w:fill="FFFFFF"/>
        </w:rPr>
        <w:t>other agencies</w:t>
      </w:r>
      <w:r w:rsidRPr="000858F6">
        <w:rPr>
          <w:rFonts w:ascii="Arial" w:hAnsi="Arial" w:cs="Arial"/>
          <w:shd w:val="clear" w:color="auto" w:fill="FFFFFF"/>
        </w:rPr>
        <w:t xml:space="preserve"> to the nature of the </w:t>
      </w:r>
      <w:r w:rsidRPr="001F2EFA">
        <w:rPr>
          <w:rFonts w:ascii="Arial" w:hAnsi="Arial" w:cs="Arial"/>
          <w:shd w:val="clear" w:color="auto" w:fill="FFFFFF"/>
        </w:rPr>
        <w:t>risks and appropriate action taken as per local protocols.</w:t>
      </w:r>
    </w:p>
    <w:p w14:paraId="1E0A39D3" w14:textId="77777777" w:rsidR="001F2EFA" w:rsidRPr="000858F6" w:rsidRDefault="001F2EFA" w:rsidP="001F2EFA">
      <w:pPr>
        <w:shd w:val="clear" w:color="auto" w:fill="FFFFFF"/>
        <w:spacing w:before="100" w:beforeAutospacing="1" w:after="100" w:afterAutospacing="1" w:line="276" w:lineRule="auto"/>
        <w:jc w:val="both"/>
        <w:rPr>
          <w:rFonts w:ascii="Arial" w:eastAsia="Times New Roman" w:hAnsi="Arial" w:cs="Arial"/>
          <w:color w:val="000000"/>
          <w:lang w:eastAsia="en-GB"/>
        </w:rPr>
      </w:pPr>
      <w:r w:rsidRPr="000858F6">
        <w:rPr>
          <w:rFonts w:ascii="Arial" w:hAnsi="Arial" w:cs="Arial"/>
        </w:rPr>
        <w:t>Agencies should also ensure that staff are aware of the</w:t>
      </w:r>
      <w:r>
        <w:rPr>
          <w:rFonts w:ascii="Arial" w:hAnsi="Arial" w:cs="Arial"/>
        </w:rPr>
        <w:t xml:space="preserve"> </w:t>
      </w:r>
      <w:hyperlink r:id="rId9" w:history="1">
        <w:r>
          <w:rPr>
            <w:rStyle w:val="Hyperlink"/>
            <w:rFonts w:ascii="Arial" w:hAnsi="Arial" w:cs="Arial"/>
          </w:rPr>
          <w:t>‘Unseen Children, Young People and Adult Multi Agency Guidance'</w:t>
        </w:r>
      </w:hyperlink>
      <w:r>
        <w:rPr>
          <w:rFonts w:ascii="Arial" w:hAnsi="Arial" w:cs="Arial"/>
        </w:rPr>
        <w:t xml:space="preserve"> </w:t>
      </w:r>
      <w:r w:rsidRPr="000858F6">
        <w:rPr>
          <w:rFonts w:ascii="Arial" w:hAnsi="Arial" w:cs="Arial"/>
        </w:rPr>
        <w:t>which</w:t>
      </w:r>
      <w:r w:rsidRPr="000858F6">
        <w:rPr>
          <w:rFonts w:ascii="Arial" w:eastAsia="Times New Roman" w:hAnsi="Arial" w:cs="Arial"/>
          <w:color w:val="000000"/>
          <w:lang w:eastAsia="en-GB"/>
        </w:rPr>
        <w:t xml:space="preserve"> will assist practitioners in determining the most appropriate course of action to take in situations where the adult is ‘unseen’ and / or was not brought to appointments. This includes arranged / un-arranged, in person, virtual, and telephone appointments, as well as home visits by any service and all appointments where an adult needs support to attend.</w:t>
      </w:r>
    </w:p>
    <w:p w14:paraId="52C7C554" w14:textId="77777777" w:rsidR="001F2EFA" w:rsidRDefault="001F2EFA" w:rsidP="000E449D">
      <w:pPr>
        <w:spacing w:line="240" w:lineRule="auto"/>
        <w:jc w:val="both"/>
        <w:rPr>
          <w:rFonts w:ascii="Arial" w:hAnsi="Arial" w:cs="Arial"/>
          <w:b/>
          <w:bCs/>
          <w:color w:val="000000" w:themeColor="text1"/>
          <w:u w:val="single"/>
        </w:rPr>
      </w:pPr>
    </w:p>
    <w:p w14:paraId="31CF7FE2" w14:textId="77777777" w:rsidR="001F2EFA" w:rsidRDefault="001F2EFA" w:rsidP="000E449D">
      <w:pPr>
        <w:spacing w:line="240" w:lineRule="auto"/>
        <w:jc w:val="both"/>
        <w:rPr>
          <w:rFonts w:ascii="Arial" w:hAnsi="Arial" w:cs="Arial"/>
          <w:b/>
          <w:bCs/>
          <w:color w:val="000000" w:themeColor="text1"/>
          <w:u w:val="single"/>
        </w:rPr>
      </w:pPr>
    </w:p>
    <w:p w14:paraId="78F2965B" w14:textId="77777777" w:rsidR="001F2EFA" w:rsidRDefault="001F2EFA" w:rsidP="000E449D">
      <w:pPr>
        <w:spacing w:line="240" w:lineRule="auto"/>
        <w:jc w:val="both"/>
        <w:rPr>
          <w:rFonts w:ascii="Arial" w:hAnsi="Arial" w:cs="Arial"/>
          <w:b/>
          <w:bCs/>
          <w:color w:val="000000" w:themeColor="text1"/>
          <w:u w:val="single"/>
        </w:rPr>
      </w:pPr>
    </w:p>
    <w:p w14:paraId="1D83574E" w14:textId="77777777" w:rsidR="00473E52" w:rsidRDefault="00473E52" w:rsidP="000E449D">
      <w:pPr>
        <w:spacing w:line="240" w:lineRule="auto"/>
        <w:jc w:val="both"/>
        <w:rPr>
          <w:rFonts w:ascii="Arial" w:hAnsi="Arial" w:cs="Arial"/>
          <w:b/>
          <w:bCs/>
          <w:color w:val="000000" w:themeColor="text1"/>
          <w:u w:val="single"/>
        </w:rPr>
      </w:pPr>
    </w:p>
    <w:p w14:paraId="60F829CD" w14:textId="77777777" w:rsidR="001F2EFA" w:rsidRDefault="001F2EFA" w:rsidP="000E449D">
      <w:pPr>
        <w:spacing w:line="240" w:lineRule="auto"/>
        <w:jc w:val="both"/>
        <w:rPr>
          <w:rFonts w:ascii="Arial" w:hAnsi="Arial" w:cs="Arial"/>
          <w:b/>
          <w:bCs/>
          <w:color w:val="000000" w:themeColor="text1"/>
          <w:u w:val="single"/>
        </w:rPr>
      </w:pPr>
    </w:p>
    <w:p w14:paraId="64C21E01" w14:textId="0D7F1FEB" w:rsidR="000E449D" w:rsidRPr="000858F6" w:rsidRDefault="000E449D" w:rsidP="000E449D">
      <w:pPr>
        <w:spacing w:line="240" w:lineRule="auto"/>
        <w:jc w:val="both"/>
        <w:rPr>
          <w:rFonts w:ascii="Arial" w:hAnsi="Arial" w:cs="Arial"/>
          <w:b/>
          <w:bCs/>
          <w:color w:val="000000" w:themeColor="text1"/>
          <w:u w:val="single"/>
        </w:rPr>
      </w:pPr>
      <w:r w:rsidRPr="000858F6">
        <w:rPr>
          <w:rFonts w:ascii="Arial" w:hAnsi="Arial" w:cs="Arial"/>
          <w:b/>
          <w:bCs/>
          <w:color w:val="000000" w:themeColor="text1"/>
          <w:u w:val="single"/>
        </w:rPr>
        <w:lastRenderedPageBreak/>
        <w:t xml:space="preserve">Definitions </w:t>
      </w:r>
    </w:p>
    <w:p w14:paraId="1712259D" w14:textId="77777777" w:rsidR="000E449D" w:rsidRPr="000858F6" w:rsidRDefault="000E449D" w:rsidP="000E449D">
      <w:pPr>
        <w:spacing w:before="200" w:line="240" w:lineRule="auto"/>
        <w:jc w:val="both"/>
        <w:rPr>
          <w:rFonts w:ascii="Arial" w:hAnsi="Arial" w:cs="Arial"/>
          <w:color w:val="000000" w:themeColor="text1"/>
          <w:kern w:val="24"/>
        </w:rPr>
      </w:pPr>
      <w:r w:rsidRPr="000858F6">
        <w:rPr>
          <w:rFonts w:ascii="Arial" w:hAnsi="Arial" w:cs="Arial"/>
          <w:color w:val="000000" w:themeColor="text1"/>
          <w:kern w:val="24"/>
        </w:rPr>
        <w:t>Adults may disengage from services in a variety of ways:</w:t>
      </w:r>
    </w:p>
    <w:p w14:paraId="2E39AE6F" w14:textId="5D9B3183" w:rsidR="000E449D" w:rsidRPr="000858F6" w:rsidRDefault="000E449D" w:rsidP="000E449D">
      <w:pPr>
        <w:pStyle w:val="ListParagraph"/>
        <w:numPr>
          <w:ilvl w:val="0"/>
          <w:numId w:val="2"/>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0858F6">
        <w:rPr>
          <w:rFonts w:ascii="Arial" w:hAnsi="Arial" w:cs="Arial"/>
          <w:color w:val="000000" w:themeColor="text1"/>
        </w:rPr>
        <w:t>Not enabling necessary contact (</w:t>
      </w:r>
      <w:r w:rsidR="000858F6">
        <w:rPr>
          <w:rFonts w:ascii="Arial" w:hAnsi="Arial" w:cs="Arial"/>
          <w:color w:val="000000" w:themeColor="text1"/>
        </w:rPr>
        <w:t xml:space="preserve">this </w:t>
      </w:r>
      <w:r w:rsidRPr="000858F6">
        <w:rPr>
          <w:rFonts w:ascii="Arial" w:hAnsi="Arial" w:cs="Arial"/>
          <w:color w:val="000000" w:themeColor="text1"/>
        </w:rPr>
        <w:t xml:space="preserve">can include the adult missing or cancelling appointments or it could be a carer refusing to allow access to the adult. </w:t>
      </w:r>
      <w:r w:rsidRPr="000858F6">
        <w:rPr>
          <w:rFonts w:ascii="Arial" w:eastAsia="Times New Roman" w:hAnsi="Arial" w:cs="Arial"/>
          <w:color w:val="000000"/>
          <w:lang w:eastAsia="en-GB"/>
        </w:rPr>
        <w:t xml:space="preserve">If practitioners have concerns that an adult is unseen and / or was not brought to appointments, they have a responsibility to </w:t>
      </w:r>
      <w:proofErr w:type="gramStart"/>
      <w:r w:rsidRPr="000858F6">
        <w:rPr>
          <w:rFonts w:ascii="Arial" w:eastAsia="Times New Roman" w:hAnsi="Arial" w:cs="Arial"/>
          <w:color w:val="000000"/>
          <w:lang w:eastAsia="en-GB"/>
        </w:rPr>
        <w:t>take action</w:t>
      </w:r>
      <w:proofErr w:type="gramEnd"/>
      <w:r w:rsidRPr="000858F6">
        <w:rPr>
          <w:rFonts w:ascii="Arial" w:eastAsia="Times New Roman" w:hAnsi="Arial" w:cs="Arial"/>
          <w:color w:val="000000"/>
          <w:lang w:eastAsia="en-GB"/>
        </w:rPr>
        <w:t xml:space="preserve"> until </w:t>
      </w:r>
      <w:r w:rsidRPr="000858F6">
        <w:rPr>
          <w:rFonts w:ascii="Arial" w:eastAsia="Times New Roman" w:hAnsi="Arial" w:cs="Arial"/>
          <w:color w:val="000000" w:themeColor="text1"/>
          <w:lang w:eastAsia="en-GB"/>
        </w:rPr>
        <w:t>the p</w:t>
      </w:r>
      <w:r w:rsidR="000858F6">
        <w:rPr>
          <w:rFonts w:ascii="Arial" w:eastAsia="Times New Roman" w:hAnsi="Arial" w:cs="Arial"/>
          <w:color w:val="000000" w:themeColor="text1"/>
          <w:lang w:eastAsia="en-GB"/>
        </w:rPr>
        <w:t>ractitioner</w:t>
      </w:r>
      <w:r w:rsidRPr="000858F6">
        <w:rPr>
          <w:rFonts w:ascii="Arial" w:eastAsia="Times New Roman" w:hAnsi="Arial" w:cs="Arial"/>
          <w:color w:val="000000" w:themeColor="text1"/>
          <w:lang w:eastAsia="en-GB"/>
        </w:rPr>
        <w:t xml:space="preserve">(s) concerned </w:t>
      </w:r>
      <w:r w:rsidRPr="000858F6">
        <w:rPr>
          <w:rFonts w:ascii="Arial" w:eastAsia="Times New Roman" w:hAnsi="Arial" w:cs="Arial"/>
          <w:color w:val="000000"/>
          <w:lang w:eastAsia="en-GB"/>
        </w:rPr>
        <w:t>are satisfied that the individual is not at risk of harm, abuse, or neglect. Practitioners should follow their agencies unseen child and adult guidance if available</w:t>
      </w:r>
      <w:r w:rsidR="000858F6">
        <w:rPr>
          <w:rFonts w:ascii="Arial" w:eastAsia="Times New Roman" w:hAnsi="Arial" w:cs="Arial"/>
          <w:color w:val="000000"/>
          <w:lang w:eastAsia="en-GB"/>
        </w:rPr>
        <w:t xml:space="preserve">. </w:t>
      </w:r>
      <w:r w:rsidRPr="000858F6">
        <w:rPr>
          <w:rFonts w:ascii="Arial" w:eastAsia="Times New Roman" w:hAnsi="Arial" w:cs="Arial"/>
          <w:color w:val="000000"/>
          <w:lang w:eastAsia="en-GB"/>
        </w:rPr>
        <w:t xml:space="preserve"> </w:t>
      </w:r>
    </w:p>
    <w:p w14:paraId="75E5AD37" w14:textId="6055C437" w:rsidR="000E449D" w:rsidRPr="000858F6" w:rsidRDefault="000E449D" w:rsidP="000E449D">
      <w:pPr>
        <w:pStyle w:val="ListParagraph"/>
        <w:numPr>
          <w:ilvl w:val="0"/>
          <w:numId w:val="1"/>
        </w:numPr>
        <w:spacing w:line="240" w:lineRule="auto"/>
        <w:jc w:val="both"/>
        <w:rPr>
          <w:rFonts w:ascii="Arial" w:hAnsi="Arial" w:cs="Arial"/>
          <w:color w:val="000000" w:themeColor="text1"/>
        </w:rPr>
      </w:pPr>
      <w:r w:rsidRPr="000858F6">
        <w:rPr>
          <w:rFonts w:ascii="Arial" w:hAnsi="Arial" w:cs="Arial"/>
          <w:color w:val="000000" w:themeColor="text1"/>
        </w:rPr>
        <w:t>Active non-compliance (</w:t>
      </w:r>
      <w:r w:rsidR="000858F6">
        <w:rPr>
          <w:rFonts w:ascii="Arial" w:hAnsi="Arial" w:cs="Arial"/>
          <w:color w:val="000000" w:themeColor="text1"/>
        </w:rPr>
        <w:t xml:space="preserve">this </w:t>
      </w:r>
      <w:r w:rsidRPr="000858F6">
        <w:rPr>
          <w:rFonts w:ascii="Arial" w:hAnsi="Arial" w:cs="Arial"/>
          <w:color w:val="000000" w:themeColor="text1"/>
        </w:rPr>
        <w:t xml:space="preserve">can involve the adult and/or their carer proactively preventing efforts to bring about change and/or actively not complying with actions set out in the protection plan). </w:t>
      </w:r>
    </w:p>
    <w:p w14:paraId="07330F78" w14:textId="77777777" w:rsidR="000E449D" w:rsidRPr="000858F6" w:rsidRDefault="000E449D" w:rsidP="000E449D">
      <w:pPr>
        <w:pStyle w:val="ListParagraph"/>
        <w:numPr>
          <w:ilvl w:val="0"/>
          <w:numId w:val="1"/>
        </w:numPr>
        <w:spacing w:line="240" w:lineRule="auto"/>
        <w:jc w:val="both"/>
        <w:rPr>
          <w:rFonts w:ascii="Arial" w:hAnsi="Arial" w:cs="Arial"/>
          <w:color w:val="000000" w:themeColor="text1"/>
        </w:rPr>
      </w:pPr>
      <w:r w:rsidRPr="000858F6">
        <w:rPr>
          <w:rFonts w:ascii="Arial" w:hAnsi="Arial" w:cs="Arial"/>
          <w:color w:val="000000" w:themeColor="text1"/>
        </w:rPr>
        <w:t xml:space="preserve">Disguised compliance (where the adult and/or their carers appear to engage and co-operate with agencies without actually carrying out actions or enabling them to be effective). </w:t>
      </w:r>
    </w:p>
    <w:p w14:paraId="4CE52511" w14:textId="77777777" w:rsidR="000E449D" w:rsidRPr="000858F6" w:rsidRDefault="000E449D" w:rsidP="000E449D">
      <w:pPr>
        <w:pStyle w:val="ListParagraph"/>
        <w:numPr>
          <w:ilvl w:val="0"/>
          <w:numId w:val="1"/>
        </w:numPr>
        <w:tabs>
          <w:tab w:val="left" w:pos="567"/>
        </w:tabs>
        <w:spacing w:line="240" w:lineRule="auto"/>
        <w:jc w:val="both"/>
        <w:rPr>
          <w:rFonts w:ascii="Arial" w:hAnsi="Arial" w:cs="Arial"/>
          <w:color w:val="000000" w:themeColor="text1"/>
        </w:rPr>
      </w:pPr>
      <w:r w:rsidRPr="000858F6">
        <w:rPr>
          <w:rFonts w:ascii="Arial" w:hAnsi="Arial" w:cs="Arial"/>
          <w:color w:val="000000" w:themeColor="text1"/>
        </w:rPr>
        <w:t xml:space="preserve">  Threats of violence or intimidation (where the adult and/or their carers display behaviours such as inappropriately challenging professionals, provoking arguments, threatened or actual violence). </w:t>
      </w:r>
    </w:p>
    <w:p w14:paraId="17534778" w14:textId="77777777" w:rsidR="006C35C3" w:rsidRPr="006C35C3" w:rsidRDefault="000E449D" w:rsidP="006C35C3">
      <w:pPr>
        <w:pStyle w:val="ListParagraph"/>
        <w:numPr>
          <w:ilvl w:val="0"/>
          <w:numId w:val="1"/>
        </w:numPr>
        <w:spacing w:line="240" w:lineRule="auto"/>
        <w:jc w:val="both"/>
        <w:rPr>
          <w:rFonts w:ascii="Arial" w:hAnsi="Arial" w:cs="Arial"/>
          <w:b/>
          <w:bCs/>
          <w:color w:val="000000" w:themeColor="text1"/>
          <w:u w:val="single"/>
        </w:rPr>
      </w:pPr>
      <w:r w:rsidRPr="000858F6">
        <w:rPr>
          <w:rFonts w:ascii="Arial" w:hAnsi="Arial" w:cs="Arial"/>
          <w:color w:val="000000" w:themeColor="text1"/>
        </w:rPr>
        <w:t>On-line behaviours (</w:t>
      </w:r>
      <w:r w:rsidR="000858F6">
        <w:rPr>
          <w:rFonts w:ascii="Arial" w:hAnsi="Arial" w:cs="Arial"/>
          <w:color w:val="000000" w:themeColor="text1"/>
        </w:rPr>
        <w:t xml:space="preserve">this </w:t>
      </w:r>
      <w:r w:rsidRPr="000858F6">
        <w:rPr>
          <w:rFonts w:ascii="Arial" w:hAnsi="Arial" w:cs="Arial"/>
          <w:color w:val="000000" w:themeColor="text1"/>
        </w:rPr>
        <w:t>can include practitioners being filmed, either covertly or knowingly, whilst carrying out support such as home visits).</w:t>
      </w:r>
    </w:p>
    <w:p w14:paraId="11351E5C" w14:textId="77777777" w:rsidR="000E64E8" w:rsidRPr="001F2EFA" w:rsidRDefault="000E64E8" w:rsidP="006C35C3">
      <w:pPr>
        <w:spacing w:line="240" w:lineRule="auto"/>
        <w:jc w:val="both"/>
        <w:rPr>
          <w:rFonts w:ascii="Arial" w:hAnsi="Arial" w:cs="Arial"/>
          <w:color w:val="000000" w:themeColor="text1"/>
        </w:rPr>
      </w:pPr>
    </w:p>
    <w:p w14:paraId="501E8013" w14:textId="1EBACCC7" w:rsidR="00EB66FE" w:rsidRPr="006C35C3" w:rsidRDefault="000E64E8" w:rsidP="006C35C3">
      <w:pPr>
        <w:spacing w:line="240" w:lineRule="auto"/>
        <w:jc w:val="both"/>
        <w:rPr>
          <w:rFonts w:ascii="Arial" w:hAnsi="Arial" w:cs="Arial"/>
          <w:b/>
          <w:bCs/>
          <w:color w:val="000000" w:themeColor="text1"/>
          <w:u w:val="single"/>
        </w:rPr>
      </w:pPr>
      <w:r w:rsidRPr="001F2EFA">
        <w:rPr>
          <w:rFonts w:ascii="Arial" w:hAnsi="Arial" w:cs="Arial"/>
          <w:color w:val="000000" w:themeColor="text1"/>
        </w:rPr>
        <w:t>N</w:t>
      </w:r>
      <w:r w:rsidR="000858F6" w:rsidRPr="001F2EFA">
        <w:rPr>
          <w:rFonts w:ascii="Arial" w:hAnsi="Arial" w:cs="Arial"/>
          <w:color w:val="000000" w:themeColor="text1"/>
        </w:rPr>
        <w:t xml:space="preserve">on-engagement </w:t>
      </w:r>
      <w:r w:rsidR="00EB66FE" w:rsidRPr="001F2EFA">
        <w:rPr>
          <w:rFonts w:ascii="Arial" w:hAnsi="Arial" w:cs="Arial"/>
          <w:color w:val="000000" w:themeColor="text1"/>
        </w:rPr>
        <w:t>or intimidation need</w:t>
      </w:r>
      <w:r w:rsidR="000858F6" w:rsidRPr="001F2EFA">
        <w:rPr>
          <w:rFonts w:ascii="Arial" w:hAnsi="Arial" w:cs="Arial"/>
          <w:color w:val="000000" w:themeColor="text1"/>
        </w:rPr>
        <w:t>s</w:t>
      </w:r>
      <w:r w:rsidR="00EB66FE" w:rsidRPr="001F2EFA">
        <w:rPr>
          <w:rFonts w:ascii="Arial" w:hAnsi="Arial" w:cs="Arial"/>
          <w:color w:val="000000" w:themeColor="text1"/>
        </w:rPr>
        <w:t xml:space="preserve"> to be included in </w:t>
      </w:r>
      <w:r w:rsidRPr="001F2EFA">
        <w:rPr>
          <w:rFonts w:ascii="Arial" w:hAnsi="Arial" w:cs="Arial"/>
          <w:color w:val="000000" w:themeColor="text1"/>
        </w:rPr>
        <w:t xml:space="preserve">all </w:t>
      </w:r>
      <w:r w:rsidR="00EB66FE" w:rsidRPr="001F2EFA">
        <w:rPr>
          <w:rFonts w:ascii="Arial" w:hAnsi="Arial" w:cs="Arial"/>
          <w:color w:val="000000" w:themeColor="text1"/>
        </w:rPr>
        <w:t xml:space="preserve">any </w:t>
      </w:r>
      <w:r w:rsidR="006C35C3" w:rsidRPr="001F2EFA">
        <w:rPr>
          <w:rFonts w:ascii="Arial" w:hAnsi="Arial" w:cs="Arial"/>
          <w:color w:val="000000" w:themeColor="text1"/>
        </w:rPr>
        <w:t xml:space="preserve">risk </w:t>
      </w:r>
      <w:r w:rsidR="00EB66FE" w:rsidRPr="001F2EFA">
        <w:rPr>
          <w:rFonts w:ascii="Arial" w:hAnsi="Arial" w:cs="Arial"/>
        </w:rPr>
        <w:t>assessment</w:t>
      </w:r>
      <w:r w:rsidRPr="001F2EFA">
        <w:rPr>
          <w:rFonts w:ascii="Arial" w:hAnsi="Arial" w:cs="Arial"/>
        </w:rPr>
        <w:t>s</w:t>
      </w:r>
      <w:r w:rsidR="00EB66FE" w:rsidRPr="001F2EFA">
        <w:rPr>
          <w:rFonts w:ascii="Arial" w:hAnsi="Arial" w:cs="Arial"/>
        </w:rPr>
        <w:t xml:space="preserve"> of the adult</w:t>
      </w:r>
      <w:r w:rsidRPr="001F2EFA">
        <w:rPr>
          <w:rFonts w:ascii="Arial" w:hAnsi="Arial" w:cs="Arial"/>
        </w:rPr>
        <w:t xml:space="preserve"> and shared with partner agencies involved.</w:t>
      </w:r>
    </w:p>
    <w:p w14:paraId="2DF24CD2" w14:textId="52691DD0" w:rsidR="000E449D" w:rsidRPr="000858F6" w:rsidRDefault="000E449D" w:rsidP="000E449D">
      <w:pPr>
        <w:spacing w:line="240" w:lineRule="auto"/>
        <w:jc w:val="both"/>
        <w:rPr>
          <w:rFonts w:ascii="Arial" w:hAnsi="Arial" w:cs="Arial"/>
          <w:b/>
          <w:bCs/>
          <w:color w:val="000000" w:themeColor="text1"/>
          <w:u w:val="single"/>
        </w:rPr>
      </w:pPr>
      <w:r w:rsidRPr="000858F6">
        <w:rPr>
          <w:rFonts w:ascii="Arial" w:hAnsi="Arial" w:cs="Arial"/>
          <w:b/>
          <w:bCs/>
          <w:color w:val="000000" w:themeColor="text1"/>
          <w:u w:val="single"/>
        </w:rPr>
        <w:t>Duty of Care vs Self Determination</w:t>
      </w:r>
    </w:p>
    <w:p w14:paraId="6A8C5FCE" w14:textId="07084F96" w:rsidR="000858F6" w:rsidRDefault="000E449D" w:rsidP="000E449D">
      <w:pPr>
        <w:spacing w:line="240" w:lineRule="auto"/>
        <w:jc w:val="both"/>
        <w:rPr>
          <w:rFonts w:ascii="Arial" w:hAnsi="Arial" w:cs="Arial"/>
          <w:color w:val="000000" w:themeColor="text1"/>
        </w:rPr>
      </w:pPr>
      <w:r w:rsidRPr="000858F6">
        <w:rPr>
          <w:rFonts w:ascii="Arial" w:hAnsi="Arial" w:cs="Arial"/>
          <w:color w:val="000000" w:themeColor="text1"/>
        </w:rPr>
        <w:t>Managing</w:t>
      </w:r>
      <w:r w:rsidRPr="000858F6">
        <w:rPr>
          <w:rFonts w:ascii="Arial" w:hAnsi="Arial" w:cs="Arial"/>
          <w:color w:val="000000" w:themeColor="text1"/>
          <w:spacing w:val="-10"/>
        </w:rPr>
        <w:t xml:space="preserve"> </w:t>
      </w:r>
      <w:r w:rsidRPr="000858F6">
        <w:rPr>
          <w:rFonts w:ascii="Arial" w:hAnsi="Arial" w:cs="Arial"/>
          <w:color w:val="000000" w:themeColor="text1"/>
        </w:rPr>
        <w:t>the</w:t>
      </w:r>
      <w:r w:rsidRPr="000858F6">
        <w:rPr>
          <w:rFonts w:ascii="Arial" w:hAnsi="Arial" w:cs="Arial"/>
          <w:color w:val="000000" w:themeColor="text1"/>
          <w:spacing w:val="-13"/>
        </w:rPr>
        <w:t xml:space="preserve"> </w:t>
      </w:r>
      <w:r w:rsidRPr="000858F6">
        <w:rPr>
          <w:rFonts w:ascii="Arial" w:hAnsi="Arial" w:cs="Arial"/>
          <w:color w:val="000000" w:themeColor="text1"/>
        </w:rPr>
        <w:t>balance</w:t>
      </w:r>
      <w:r w:rsidRPr="000858F6">
        <w:rPr>
          <w:rFonts w:ascii="Arial" w:hAnsi="Arial" w:cs="Arial"/>
          <w:color w:val="000000" w:themeColor="text1"/>
          <w:spacing w:val="-10"/>
        </w:rPr>
        <w:t xml:space="preserve"> </w:t>
      </w:r>
      <w:r w:rsidRPr="000858F6">
        <w:rPr>
          <w:rFonts w:ascii="Arial" w:hAnsi="Arial" w:cs="Arial"/>
          <w:color w:val="000000" w:themeColor="text1"/>
        </w:rPr>
        <w:t>between</w:t>
      </w:r>
      <w:r w:rsidRPr="000858F6">
        <w:rPr>
          <w:rFonts w:ascii="Arial" w:hAnsi="Arial" w:cs="Arial"/>
          <w:color w:val="000000" w:themeColor="text1"/>
          <w:spacing w:val="-10"/>
        </w:rPr>
        <w:t xml:space="preserve"> </w:t>
      </w:r>
      <w:r w:rsidRPr="000858F6">
        <w:rPr>
          <w:rFonts w:ascii="Arial" w:hAnsi="Arial" w:cs="Arial"/>
          <w:color w:val="000000" w:themeColor="text1"/>
        </w:rPr>
        <w:t>protecting</w:t>
      </w:r>
      <w:r w:rsidRPr="000858F6">
        <w:rPr>
          <w:rFonts w:ascii="Arial" w:hAnsi="Arial" w:cs="Arial"/>
          <w:color w:val="000000" w:themeColor="text1"/>
          <w:spacing w:val="-10"/>
        </w:rPr>
        <w:t xml:space="preserve"> </w:t>
      </w:r>
      <w:r w:rsidRPr="000858F6">
        <w:rPr>
          <w:rFonts w:ascii="Arial" w:hAnsi="Arial" w:cs="Arial"/>
          <w:color w:val="000000" w:themeColor="text1"/>
        </w:rPr>
        <w:t>adults</w:t>
      </w:r>
      <w:r w:rsidRPr="000858F6">
        <w:rPr>
          <w:rFonts w:ascii="Arial" w:hAnsi="Arial" w:cs="Arial"/>
          <w:color w:val="000000" w:themeColor="text1"/>
          <w:spacing w:val="-11"/>
        </w:rPr>
        <w:t xml:space="preserve"> </w:t>
      </w:r>
      <w:r w:rsidRPr="000858F6">
        <w:rPr>
          <w:rFonts w:ascii="Arial" w:hAnsi="Arial" w:cs="Arial"/>
          <w:color w:val="000000" w:themeColor="text1"/>
        </w:rPr>
        <w:t>from</w:t>
      </w:r>
      <w:r w:rsidRPr="000858F6">
        <w:rPr>
          <w:rFonts w:ascii="Arial" w:hAnsi="Arial" w:cs="Arial"/>
          <w:color w:val="000000" w:themeColor="text1"/>
          <w:spacing w:val="-10"/>
        </w:rPr>
        <w:t xml:space="preserve"> </w:t>
      </w:r>
      <w:r w:rsidRPr="000858F6">
        <w:rPr>
          <w:rFonts w:ascii="Arial" w:hAnsi="Arial" w:cs="Arial"/>
          <w:color w:val="000000" w:themeColor="text1"/>
        </w:rPr>
        <w:t>risk</w:t>
      </w:r>
      <w:r w:rsidRPr="000858F6">
        <w:rPr>
          <w:rFonts w:ascii="Arial" w:hAnsi="Arial" w:cs="Arial"/>
          <w:color w:val="000000" w:themeColor="text1"/>
          <w:spacing w:val="-11"/>
        </w:rPr>
        <w:t xml:space="preserve"> </w:t>
      </w:r>
      <w:r w:rsidRPr="000858F6">
        <w:rPr>
          <w:rFonts w:ascii="Arial" w:hAnsi="Arial" w:cs="Arial"/>
          <w:color w:val="000000" w:themeColor="text1"/>
        </w:rPr>
        <w:t>of</w:t>
      </w:r>
      <w:r w:rsidRPr="000858F6">
        <w:rPr>
          <w:rFonts w:ascii="Arial" w:hAnsi="Arial" w:cs="Arial"/>
          <w:color w:val="000000" w:themeColor="text1"/>
          <w:spacing w:val="-6"/>
        </w:rPr>
        <w:t xml:space="preserve"> </w:t>
      </w:r>
      <w:r w:rsidRPr="000858F6">
        <w:rPr>
          <w:rFonts w:ascii="Arial" w:hAnsi="Arial" w:cs="Arial"/>
          <w:color w:val="000000" w:themeColor="text1"/>
        </w:rPr>
        <w:t>harm versus</w:t>
      </w:r>
      <w:r w:rsidRPr="000858F6">
        <w:rPr>
          <w:rFonts w:ascii="Arial" w:hAnsi="Arial" w:cs="Arial"/>
          <w:color w:val="000000" w:themeColor="text1"/>
          <w:spacing w:val="-13"/>
        </w:rPr>
        <w:t xml:space="preserve"> </w:t>
      </w:r>
      <w:r w:rsidRPr="000858F6">
        <w:rPr>
          <w:rFonts w:ascii="Arial" w:hAnsi="Arial" w:cs="Arial"/>
          <w:color w:val="000000" w:themeColor="text1"/>
        </w:rPr>
        <w:t>their</w:t>
      </w:r>
      <w:r w:rsidRPr="000858F6">
        <w:rPr>
          <w:rFonts w:ascii="Arial" w:hAnsi="Arial" w:cs="Arial"/>
          <w:color w:val="000000" w:themeColor="text1"/>
          <w:spacing w:val="-12"/>
        </w:rPr>
        <w:t xml:space="preserve"> </w:t>
      </w:r>
      <w:r w:rsidRPr="000858F6">
        <w:rPr>
          <w:rFonts w:ascii="Arial" w:hAnsi="Arial" w:cs="Arial"/>
          <w:color w:val="000000" w:themeColor="text1"/>
        </w:rPr>
        <w:t xml:space="preserve">right to self-determination is a serious challenge for practitioners. </w:t>
      </w:r>
      <w:r w:rsidRPr="001F2EFA">
        <w:rPr>
          <w:rFonts w:ascii="Arial" w:hAnsi="Arial" w:cs="Arial"/>
          <w:color w:val="000000" w:themeColor="text1"/>
        </w:rPr>
        <w:t xml:space="preserve">It is not uncommon for practitioners to encounter adults who </w:t>
      </w:r>
      <w:r w:rsidR="000E64E8" w:rsidRPr="001F2EFA">
        <w:rPr>
          <w:rFonts w:ascii="Arial" w:hAnsi="Arial" w:cs="Arial"/>
          <w:color w:val="000000" w:themeColor="text1"/>
        </w:rPr>
        <w:t>they find it difficult to engage with</w:t>
      </w:r>
      <w:r w:rsidR="000E64E8">
        <w:rPr>
          <w:rFonts w:ascii="Arial" w:hAnsi="Arial" w:cs="Arial"/>
          <w:color w:val="000000" w:themeColor="text1"/>
        </w:rPr>
        <w:t xml:space="preserve"> </w:t>
      </w:r>
      <w:r w:rsidRPr="000858F6">
        <w:rPr>
          <w:rFonts w:ascii="Arial" w:hAnsi="Arial" w:cs="Arial"/>
          <w:color w:val="000000" w:themeColor="text1"/>
        </w:rPr>
        <w:t xml:space="preserve">however where risks are evident, the case should not be closed until the identified risks are addressed. </w:t>
      </w:r>
    </w:p>
    <w:p w14:paraId="192B2FDA" w14:textId="3C6E324C" w:rsidR="000E449D" w:rsidRPr="000858F6" w:rsidRDefault="000E449D" w:rsidP="000E449D">
      <w:pPr>
        <w:spacing w:line="240" w:lineRule="auto"/>
        <w:jc w:val="both"/>
        <w:rPr>
          <w:rFonts w:ascii="Arial" w:hAnsi="Arial" w:cs="Arial"/>
          <w:noProof/>
          <w:color w:val="000000" w:themeColor="text1"/>
          <w:kern w:val="24"/>
        </w:rPr>
      </w:pPr>
      <w:r w:rsidRPr="000858F6">
        <w:rPr>
          <w:rFonts w:ascii="Arial" w:hAnsi="Arial" w:cs="Arial"/>
          <w:noProof/>
          <w:color w:val="000000" w:themeColor="text1"/>
          <w:kern w:val="24"/>
        </w:rPr>
        <w:t xml:space="preserve">The </w:t>
      </w:r>
      <w:hyperlink r:id="rId10" w:history="1">
        <w:r w:rsidRPr="000858F6">
          <w:rPr>
            <w:rStyle w:val="Hyperlink"/>
            <w:rFonts w:ascii="Arial" w:hAnsi="Arial" w:cs="Arial"/>
            <w:noProof/>
            <w:color w:val="A02B93" w:themeColor="accent5"/>
            <w:kern w:val="24"/>
          </w:rPr>
          <w:t>Adult Support and Protection Code of Practice</w:t>
        </w:r>
      </w:hyperlink>
      <w:r w:rsidRPr="000858F6">
        <w:rPr>
          <w:rFonts w:ascii="Arial" w:hAnsi="Arial" w:cs="Arial"/>
          <w:noProof/>
          <w:color w:val="000000" w:themeColor="text1"/>
          <w:kern w:val="24"/>
        </w:rPr>
        <w:t xml:space="preserve"> states </w:t>
      </w:r>
      <w:r w:rsidRPr="000858F6">
        <w:rPr>
          <w:rFonts w:ascii="Arial" w:hAnsi="Arial" w:cs="Arial"/>
          <w:color w:val="000000" w:themeColor="text1"/>
          <w:kern w:val="24"/>
        </w:rPr>
        <w:t>“Even if there are no concerns in relation to incapacity or undue pressure, the adult's refusal to cooperate in an adult protection inquiry should not automatically signal the end of any inquiry, assessment or intervention.”</w:t>
      </w:r>
    </w:p>
    <w:p w14:paraId="28D77605" w14:textId="77777777" w:rsidR="000E449D" w:rsidRPr="000858F6" w:rsidRDefault="000E449D" w:rsidP="000E449D">
      <w:pPr>
        <w:spacing w:before="200" w:line="240" w:lineRule="auto"/>
        <w:jc w:val="both"/>
        <w:rPr>
          <w:rFonts w:ascii="Arial" w:hAnsi="Arial" w:cs="Arial"/>
          <w:color w:val="000000" w:themeColor="text1"/>
          <w:kern w:val="24"/>
        </w:rPr>
      </w:pPr>
      <w:r w:rsidRPr="000858F6">
        <w:rPr>
          <w:rFonts w:ascii="Arial" w:hAnsi="Arial" w:cs="Arial"/>
          <w:color w:val="000000" w:themeColor="text1"/>
          <w:kern w:val="24"/>
        </w:rPr>
        <w:t>“Whilst the adult has a right not to engage in any such process, the council and its partners should still work together to offer any advice, assistance and support to help manage any identified significant risks.”</w:t>
      </w:r>
    </w:p>
    <w:p w14:paraId="1249552F" w14:textId="77777777" w:rsidR="000E449D" w:rsidRPr="000858F6" w:rsidRDefault="000E449D" w:rsidP="000E449D">
      <w:pPr>
        <w:spacing w:line="240" w:lineRule="auto"/>
        <w:jc w:val="both"/>
        <w:rPr>
          <w:rFonts w:ascii="Arial" w:hAnsi="Arial" w:cs="Arial"/>
          <w:color w:val="000000" w:themeColor="text1"/>
        </w:rPr>
      </w:pPr>
      <w:r w:rsidRPr="000858F6">
        <w:rPr>
          <w:rFonts w:ascii="Arial" w:hAnsi="Arial" w:cs="Arial"/>
          <w:iCs/>
          <w:color w:val="000000" w:themeColor="text1"/>
        </w:rPr>
        <w:t>Practitioners should consider if the pattern of disengagement warrants an early multi-agency discussion or if it may be appropriate in these circumstances to proceed to a multi-agency Adult Protection Case Conference, in order for partners to discuss risk and agree supports to be offered. Offers of support should be creative, e.g. if an adult will not accept support from one particular agency, would they accept it from another? If they will not accept the recommended support, would they accept a different level of support? The adult should be kept informed of the processes throughout and be provided with opportunities to participate in a way acceptable to them, where this can be accommodated.</w:t>
      </w:r>
    </w:p>
    <w:p w14:paraId="2255B821" w14:textId="10E7C099" w:rsidR="000E449D" w:rsidRPr="000858F6" w:rsidRDefault="000E449D" w:rsidP="000E449D">
      <w:pPr>
        <w:jc w:val="both"/>
        <w:rPr>
          <w:rFonts w:ascii="Arial" w:hAnsi="Arial" w:cs="Arial"/>
          <w:color w:val="000000" w:themeColor="text1"/>
        </w:rPr>
      </w:pPr>
      <w:r w:rsidRPr="000858F6">
        <w:rPr>
          <w:rFonts w:ascii="Arial" w:hAnsi="Arial" w:cs="Arial"/>
          <w:color w:val="000000" w:themeColor="text1"/>
        </w:rPr>
        <w:t xml:space="preserve">Taking a trauma informed approach will assist practitioners to better understand the barriers and challenges facing service users in accepting support. Links have been established between self-neglect and previous harm, trauma and bereavement, such as the loss of parents in childhood, child abuse, and wartime experiences. There are also complex links with problematic substance misuse, which is also often associated with earlier trauma. This means </w:t>
      </w:r>
      <w:r w:rsidRPr="000858F6">
        <w:rPr>
          <w:rFonts w:ascii="Arial" w:hAnsi="Arial" w:cs="Arial"/>
          <w:color w:val="000000" w:themeColor="text1"/>
        </w:rPr>
        <w:lastRenderedPageBreak/>
        <w:t xml:space="preserve">all partner agencies must apply a </w:t>
      </w:r>
      <w:hyperlink r:id="rId11" w:history="1">
        <w:r w:rsidRPr="000858F6">
          <w:rPr>
            <w:rStyle w:val="Hyperlink"/>
            <w:rFonts w:ascii="Arial" w:hAnsi="Arial" w:cs="Arial"/>
            <w:color w:val="A02B93" w:themeColor="accent5"/>
          </w:rPr>
          <w:t>trauma informed approach</w:t>
        </w:r>
      </w:hyperlink>
      <w:r w:rsidRPr="000858F6">
        <w:rPr>
          <w:rFonts w:ascii="Arial" w:hAnsi="Arial" w:cs="Arial"/>
          <w:color w:val="000000" w:themeColor="text1"/>
        </w:rPr>
        <w:t xml:space="preserve"> involving empathy and kindness whenever we </w:t>
      </w:r>
      <w:proofErr w:type="gramStart"/>
      <w:r w:rsidRPr="000858F6">
        <w:rPr>
          <w:rFonts w:ascii="Arial" w:hAnsi="Arial" w:cs="Arial"/>
          <w:color w:val="000000" w:themeColor="text1"/>
        </w:rPr>
        <w:t>come into contact with</w:t>
      </w:r>
      <w:proofErr w:type="gramEnd"/>
      <w:r w:rsidRPr="000858F6">
        <w:rPr>
          <w:rFonts w:ascii="Arial" w:hAnsi="Arial" w:cs="Arial"/>
          <w:color w:val="000000" w:themeColor="text1"/>
        </w:rPr>
        <w:t xml:space="preserve"> an adult</w:t>
      </w:r>
      <w:r w:rsidR="001F2EFA">
        <w:rPr>
          <w:rFonts w:ascii="Arial" w:hAnsi="Arial" w:cs="Arial"/>
          <w:color w:val="000000" w:themeColor="text1"/>
        </w:rPr>
        <w:t>.</w:t>
      </w:r>
    </w:p>
    <w:p w14:paraId="4D858B7A" w14:textId="617698C8" w:rsidR="000E449D" w:rsidRPr="000858F6" w:rsidRDefault="000E449D" w:rsidP="000E449D">
      <w:pPr>
        <w:spacing w:before="200" w:line="240" w:lineRule="auto"/>
        <w:jc w:val="both"/>
        <w:rPr>
          <w:rFonts w:ascii="Arial" w:hAnsi="Arial" w:cs="Arial"/>
          <w:color w:val="000000" w:themeColor="text1"/>
          <w:kern w:val="24"/>
        </w:rPr>
      </w:pPr>
      <w:r w:rsidRPr="000858F6">
        <w:rPr>
          <w:rFonts w:ascii="Arial" w:hAnsi="Arial" w:cs="Arial"/>
          <w:color w:val="000000" w:themeColor="text1"/>
          <w:kern w:val="24"/>
        </w:rPr>
        <w:t xml:space="preserve">It is important that all decisions are defensible, are grounded in evidence and </w:t>
      </w:r>
      <w:r w:rsidR="006C35C3">
        <w:rPr>
          <w:rFonts w:ascii="Arial" w:hAnsi="Arial" w:cs="Arial"/>
          <w:color w:val="000000" w:themeColor="text1"/>
          <w:kern w:val="24"/>
        </w:rPr>
        <w:t xml:space="preserve">recorded in </w:t>
      </w:r>
      <w:r w:rsidRPr="000858F6">
        <w:rPr>
          <w:rFonts w:ascii="Arial" w:hAnsi="Arial" w:cs="Arial"/>
          <w:color w:val="000000" w:themeColor="text1"/>
          <w:kern w:val="24"/>
        </w:rPr>
        <w:t xml:space="preserve">the adult’s file. This includes where no further action has been taken. Where professional disagreement arises, practitioners should follow their agencies own escalation protocols. At no time must professional disagreement detract from ensuring that an adult is protected. The adult’s health, wellbeing and safety must remain paramount throughout the process. </w:t>
      </w:r>
    </w:p>
    <w:p w14:paraId="665E38F2" w14:textId="779978CA" w:rsidR="000858F6" w:rsidRDefault="000E449D" w:rsidP="000E64E8">
      <w:pPr>
        <w:autoSpaceDE w:val="0"/>
        <w:autoSpaceDN w:val="0"/>
        <w:adjustRightInd w:val="0"/>
        <w:spacing w:line="240" w:lineRule="auto"/>
        <w:jc w:val="both"/>
        <w:rPr>
          <w:rFonts w:ascii="Arial" w:hAnsi="Arial" w:cs="Arial"/>
        </w:rPr>
      </w:pPr>
      <w:r w:rsidRPr="000858F6">
        <w:rPr>
          <w:rFonts w:ascii="Arial" w:hAnsi="Arial" w:cs="Arial"/>
          <w:color w:val="000000"/>
        </w:rPr>
        <w:t xml:space="preserve">The rights of the </w:t>
      </w:r>
      <w:r w:rsidRPr="000858F6">
        <w:rPr>
          <w:rFonts w:ascii="Arial" w:hAnsi="Arial" w:cs="Arial"/>
          <w:bCs/>
          <w:color w:val="000000"/>
        </w:rPr>
        <w:t>adult must always be considered, and their views recorded as appropriate to the circumstances being discussed</w:t>
      </w:r>
      <w:r w:rsidRPr="000858F6">
        <w:rPr>
          <w:rFonts w:ascii="Arial" w:hAnsi="Arial" w:cs="Arial"/>
        </w:rPr>
        <w:t xml:space="preserve">. Effective communication and information sharing are crucial to the assessment, planning and review processes in adult protection. The emphasis must be on sensible risk assessment, not striving to avoid all risk whatever the price, and to seek a proper balance whilst tolerating manageable or acceptable risks.  </w:t>
      </w:r>
    </w:p>
    <w:p w14:paraId="496E8D89" w14:textId="731E2429" w:rsidR="000E449D" w:rsidRPr="000858F6" w:rsidRDefault="00EB66FE" w:rsidP="000E449D">
      <w:pPr>
        <w:spacing w:before="200" w:line="240" w:lineRule="auto"/>
        <w:jc w:val="both"/>
        <w:rPr>
          <w:rFonts w:ascii="Arial" w:hAnsi="Arial" w:cs="Arial"/>
          <w:b/>
          <w:bCs/>
          <w:color w:val="000000" w:themeColor="text1"/>
          <w:kern w:val="24"/>
          <w:u w:val="single"/>
        </w:rPr>
      </w:pPr>
      <w:r w:rsidRPr="000858F6">
        <w:rPr>
          <w:rFonts w:ascii="Arial" w:hAnsi="Arial" w:cs="Arial"/>
          <w:b/>
          <w:bCs/>
          <w:color w:val="000000" w:themeColor="text1"/>
          <w:kern w:val="24"/>
          <w:u w:val="single"/>
        </w:rPr>
        <w:t xml:space="preserve">Multi Agency Response </w:t>
      </w:r>
    </w:p>
    <w:p w14:paraId="3D7D43DD" w14:textId="77777777" w:rsidR="000E449D" w:rsidRPr="000858F6" w:rsidRDefault="000E449D" w:rsidP="000E449D">
      <w:pPr>
        <w:shd w:val="clear" w:color="auto" w:fill="FFFFFF" w:themeFill="background1"/>
        <w:jc w:val="both"/>
        <w:rPr>
          <w:rFonts w:ascii="Arial" w:hAnsi="Arial" w:cs="Arial"/>
          <w:color w:val="000000" w:themeColor="text1"/>
        </w:rPr>
      </w:pPr>
      <w:r w:rsidRPr="000858F6">
        <w:rPr>
          <w:rFonts w:ascii="Arial" w:hAnsi="Arial" w:cs="Arial"/>
          <w:color w:val="000000" w:themeColor="text1"/>
        </w:rPr>
        <w:t>Consideration should always be given to the role of all multi agency partners – what can services offer to support the adult and minimise the risk. For example, consideration should be given to the role of the following services (this list is not exhaustive):</w:t>
      </w:r>
    </w:p>
    <w:p w14:paraId="09A13CD8" w14:textId="77777777" w:rsidR="000E449D" w:rsidRPr="000858F6" w:rsidRDefault="000E449D" w:rsidP="000E449D">
      <w:pPr>
        <w:pStyle w:val="ListParagraph"/>
        <w:numPr>
          <w:ilvl w:val="0"/>
          <w:numId w:val="3"/>
        </w:numPr>
        <w:shd w:val="clear" w:color="auto" w:fill="FFFFFF" w:themeFill="background1"/>
        <w:jc w:val="both"/>
        <w:rPr>
          <w:rFonts w:ascii="Arial" w:hAnsi="Arial" w:cs="Arial"/>
          <w:color w:val="000000" w:themeColor="text1"/>
        </w:rPr>
      </w:pPr>
      <w:r w:rsidRPr="000858F6">
        <w:rPr>
          <w:rFonts w:ascii="Arial" w:hAnsi="Arial" w:cs="Arial"/>
          <w:color w:val="000000" w:themeColor="text1"/>
        </w:rPr>
        <w:t xml:space="preserve">Social Work Resources, including Care at Home Services, Mental Health Services and Addiction Services </w:t>
      </w:r>
    </w:p>
    <w:p w14:paraId="09A7EFDB" w14:textId="77777777" w:rsidR="000E449D" w:rsidRPr="000858F6" w:rsidRDefault="000E449D" w:rsidP="000E449D">
      <w:pPr>
        <w:pStyle w:val="ListParagraph"/>
        <w:numPr>
          <w:ilvl w:val="0"/>
          <w:numId w:val="3"/>
        </w:numPr>
        <w:shd w:val="clear" w:color="auto" w:fill="FFFFFF" w:themeFill="background1"/>
        <w:jc w:val="both"/>
        <w:rPr>
          <w:rFonts w:ascii="Arial" w:hAnsi="Arial" w:cs="Arial"/>
          <w:color w:val="000000" w:themeColor="text1"/>
        </w:rPr>
      </w:pPr>
      <w:r w:rsidRPr="000858F6">
        <w:rPr>
          <w:rFonts w:ascii="Arial" w:hAnsi="Arial" w:cs="Arial"/>
          <w:color w:val="000000" w:themeColor="text1"/>
        </w:rPr>
        <w:t>Occupational Therapy Services</w:t>
      </w:r>
    </w:p>
    <w:p w14:paraId="0AA95FAE" w14:textId="77777777" w:rsidR="000E449D" w:rsidRPr="000858F6" w:rsidRDefault="000E449D" w:rsidP="000E449D">
      <w:pPr>
        <w:pStyle w:val="ListParagraph"/>
        <w:numPr>
          <w:ilvl w:val="0"/>
          <w:numId w:val="3"/>
        </w:numPr>
        <w:shd w:val="clear" w:color="auto" w:fill="FFFFFF" w:themeFill="background1"/>
        <w:jc w:val="both"/>
        <w:rPr>
          <w:rFonts w:ascii="Arial" w:hAnsi="Arial" w:cs="Arial"/>
          <w:color w:val="000000" w:themeColor="text1"/>
        </w:rPr>
      </w:pPr>
      <w:r w:rsidRPr="000858F6">
        <w:rPr>
          <w:rFonts w:ascii="Arial" w:hAnsi="Arial" w:cs="Arial"/>
          <w:color w:val="000000" w:themeColor="text1"/>
        </w:rPr>
        <w:t>NHS Lanarkshire, including Mental Health Services, Psychology Services</w:t>
      </w:r>
    </w:p>
    <w:p w14:paraId="1EC855C1" w14:textId="77777777" w:rsidR="000E449D" w:rsidRDefault="000E449D" w:rsidP="000E449D">
      <w:pPr>
        <w:pStyle w:val="ListParagraph"/>
        <w:numPr>
          <w:ilvl w:val="0"/>
          <w:numId w:val="3"/>
        </w:numPr>
        <w:shd w:val="clear" w:color="auto" w:fill="FFFFFF" w:themeFill="background1"/>
        <w:jc w:val="both"/>
        <w:rPr>
          <w:rFonts w:ascii="Arial" w:hAnsi="Arial" w:cs="Arial"/>
          <w:color w:val="000000" w:themeColor="text1"/>
        </w:rPr>
      </w:pPr>
      <w:r w:rsidRPr="000858F6">
        <w:rPr>
          <w:rFonts w:ascii="Arial" w:hAnsi="Arial" w:cs="Arial"/>
          <w:color w:val="000000" w:themeColor="text1"/>
        </w:rPr>
        <w:t xml:space="preserve">Police Scotland </w:t>
      </w:r>
    </w:p>
    <w:p w14:paraId="0013E299" w14:textId="155B399C" w:rsidR="000858F6" w:rsidRPr="000858F6" w:rsidRDefault="000858F6" w:rsidP="000E449D">
      <w:pPr>
        <w:pStyle w:val="ListParagraph"/>
        <w:numPr>
          <w:ilvl w:val="0"/>
          <w:numId w:val="3"/>
        </w:numPr>
        <w:shd w:val="clear" w:color="auto" w:fill="FFFFFF" w:themeFill="background1"/>
        <w:jc w:val="both"/>
        <w:rPr>
          <w:rFonts w:ascii="Arial" w:hAnsi="Arial" w:cs="Arial"/>
          <w:color w:val="000000" w:themeColor="text1"/>
        </w:rPr>
      </w:pPr>
      <w:r>
        <w:rPr>
          <w:rFonts w:ascii="Arial" w:hAnsi="Arial" w:cs="Arial"/>
          <w:color w:val="000000" w:themeColor="text1"/>
        </w:rPr>
        <w:t>Advocacy</w:t>
      </w:r>
    </w:p>
    <w:p w14:paraId="068E81CB" w14:textId="77777777" w:rsidR="000E449D" w:rsidRPr="000858F6" w:rsidRDefault="000E449D" w:rsidP="000E449D">
      <w:pPr>
        <w:pStyle w:val="ListParagraph"/>
        <w:numPr>
          <w:ilvl w:val="0"/>
          <w:numId w:val="3"/>
        </w:numPr>
        <w:shd w:val="clear" w:color="auto" w:fill="FFFFFF" w:themeFill="background1"/>
        <w:jc w:val="both"/>
        <w:rPr>
          <w:rFonts w:ascii="Arial" w:hAnsi="Arial" w:cs="Arial"/>
          <w:color w:val="000000" w:themeColor="text1"/>
        </w:rPr>
      </w:pPr>
      <w:r w:rsidRPr="000858F6">
        <w:rPr>
          <w:rFonts w:ascii="Arial" w:hAnsi="Arial" w:cs="Arial"/>
          <w:color w:val="000000" w:themeColor="text1"/>
        </w:rPr>
        <w:t xml:space="preserve">Housing and Technical Resources </w:t>
      </w:r>
    </w:p>
    <w:p w14:paraId="2415F076" w14:textId="77777777" w:rsidR="000E449D" w:rsidRPr="000858F6" w:rsidRDefault="000E449D" w:rsidP="000E449D">
      <w:pPr>
        <w:pStyle w:val="ListParagraph"/>
        <w:numPr>
          <w:ilvl w:val="0"/>
          <w:numId w:val="3"/>
        </w:numPr>
        <w:shd w:val="clear" w:color="auto" w:fill="FFFFFF" w:themeFill="background1"/>
        <w:jc w:val="both"/>
        <w:rPr>
          <w:rFonts w:ascii="Arial" w:hAnsi="Arial" w:cs="Arial"/>
          <w:color w:val="000000" w:themeColor="text1"/>
        </w:rPr>
      </w:pPr>
      <w:r w:rsidRPr="000858F6">
        <w:rPr>
          <w:rFonts w:ascii="Arial" w:hAnsi="Arial" w:cs="Arial"/>
          <w:color w:val="000000" w:themeColor="text1"/>
        </w:rPr>
        <w:t>Environmental Services</w:t>
      </w:r>
    </w:p>
    <w:p w14:paraId="78B69CAE" w14:textId="77777777" w:rsidR="000E449D" w:rsidRPr="000858F6" w:rsidRDefault="000E449D" w:rsidP="000E449D">
      <w:pPr>
        <w:pStyle w:val="ListParagraph"/>
        <w:numPr>
          <w:ilvl w:val="0"/>
          <w:numId w:val="3"/>
        </w:numPr>
        <w:shd w:val="clear" w:color="auto" w:fill="FFFFFF" w:themeFill="background1"/>
        <w:jc w:val="both"/>
        <w:rPr>
          <w:rFonts w:ascii="Arial" w:hAnsi="Arial" w:cs="Arial"/>
          <w:color w:val="000000" w:themeColor="text1"/>
        </w:rPr>
      </w:pPr>
      <w:r w:rsidRPr="000858F6">
        <w:rPr>
          <w:rFonts w:ascii="Arial" w:hAnsi="Arial" w:cs="Arial"/>
          <w:color w:val="000000" w:themeColor="text1"/>
        </w:rPr>
        <w:t>Scottish Fire and Rescue Service</w:t>
      </w:r>
    </w:p>
    <w:p w14:paraId="10A5B9CC" w14:textId="77777777" w:rsidR="000E449D" w:rsidRPr="000858F6" w:rsidRDefault="000E449D" w:rsidP="000E449D">
      <w:pPr>
        <w:pStyle w:val="ListParagraph"/>
        <w:numPr>
          <w:ilvl w:val="0"/>
          <w:numId w:val="3"/>
        </w:numPr>
        <w:shd w:val="clear" w:color="auto" w:fill="FFFFFF" w:themeFill="background1"/>
        <w:jc w:val="both"/>
        <w:rPr>
          <w:rFonts w:ascii="Arial" w:hAnsi="Arial" w:cs="Arial"/>
          <w:color w:val="000000" w:themeColor="text1"/>
        </w:rPr>
      </w:pPr>
      <w:r w:rsidRPr="000858F6">
        <w:rPr>
          <w:rFonts w:ascii="Arial" w:hAnsi="Arial" w:cs="Arial"/>
          <w:color w:val="000000" w:themeColor="text1"/>
        </w:rPr>
        <w:t xml:space="preserve">Voluntary Organisations and Support Providers </w:t>
      </w:r>
    </w:p>
    <w:p w14:paraId="59BE134D" w14:textId="77777777" w:rsidR="000E449D" w:rsidRPr="000858F6" w:rsidRDefault="000E449D" w:rsidP="000E449D">
      <w:pPr>
        <w:pStyle w:val="ListParagraph"/>
        <w:numPr>
          <w:ilvl w:val="0"/>
          <w:numId w:val="3"/>
        </w:numPr>
        <w:shd w:val="clear" w:color="auto" w:fill="FFFFFF" w:themeFill="background1"/>
        <w:jc w:val="both"/>
        <w:rPr>
          <w:rFonts w:ascii="Arial" w:hAnsi="Arial" w:cs="Arial"/>
          <w:color w:val="000000" w:themeColor="text1"/>
        </w:rPr>
      </w:pPr>
      <w:r w:rsidRPr="000858F6">
        <w:rPr>
          <w:rFonts w:ascii="Arial" w:hAnsi="Arial" w:cs="Arial"/>
          <w:color w:val="000000" w:themeColor="text1"/>
        </w:rPr>
        <w:t xml:space="preserve">Citizens Advice Bureau or Money Matter Services </w:t>
      </w:r>
    </w:p>
    <w:p w14:paraId="6BF74976" w14:textId="77777777" w:rsidR="000E449D" w:rsidRPr="000858F6" w:rsidRDefault="000E449D" w:rsidP="000E449D">
      <w:pPr>
        <w:pStyle w:val="ListParagraph"/>
        <w:numPr>
          <w:ilvl w:val="0"/>
          <w:numId w:val="3"/>
        </w:numPr>
        <w:shd w:val="clear" w:color="auto" w:fill="FFFFFF" w:themeFill="background1"/>
        <w:jc w:val="both"/>
        <w:rPr>
          <w:rFonts w:ascii="Arial" w:hAnsi="Arial" w:cs="Arial"/>
          <w:color w:val="000000" w:themeColor="text1"/>
        </w:rPr>
      </w:pPr>
      <w:r w:rsidRPr="000858F6">
        <w:rPr>
          <w:rFonts w:ascii="Arial" w:hAnsi="Arial" w:cs="Arial"/>
          <w:color w:val="000000" w:themeColor="text1"/>
        </w:rPr>
        <w:t>Alcohol and Drug Partnership</w:t>
      </w:r>
    </w:p>
    <w:p w14:paraId="08CA2191" w14:textId="77777777" w:rsidR="000E449D" w:rsidRPr="000858F6" w:rsidRDefault="000E449D" w:rsidP="000E449D">
      <w:pPr>
        <w:pStyle w:val="ListParagraph"/>
        <w:numPr>
          <w:ilvl w:val="0"/>
          <w:numId w:val="3"/>
        </w:numPr>
        <w:shd w:val="clear" w:color="auto" w:fill="FFFFFF" w:themeFill="background1"/>
        <w:jc w:val="both"/>
        <w:rPr>
          <w:rFonts w:ascii="Arial" w:hAnsi="Arial" w:cs="Arial"/>
          <w:color w:val="000000" w:themeColor="text1"/>
        </w:rPr>
      </w:pPr>
      <w:r w:rsidRPr="000858F6">
        <w:rPr>
          <w:rFonts w:ascii="Arial" w:hAnsi="Arial" w:cs="Arial"/>
          <w:color w:val="000000" w:themeColor="text1"/>
        </w:rPr>
        <w:t>SSPCA</w:t>
      </w:r>
    </w:p>
    <w:p w14:paraId="55CD4DF5" w14:textId="60DD7E31" w:rsidR="000E449D" w:rsidRPr="000858F6" w:rsidRDefault="000E449D" w:rsidP="000E449D">
      <w:pPr>
        <w:shd w:val="clear" w:color="auto" w:fill="FFFFFF" w:themeFill="background1"/>
        <w:jc w:val="both"/>
        <w:rPr>
          <w:rFonts w:ascii="Arial" w:hAnsi="Arial" w:cs="Arial"/>
          <w:b/>
          <w:bCs/>
          <w:u w:val="single"/>
        </w:rPr>
      </w:pPr>
      <w:r w:rsidRPr="000858F6">
        <w:rPr>
          <w:rFonts w:ascii="Arial" w:hAnsi="Arial" w:cs="Arial"/>
          <w:b/>
          <w:bCs/>
          <w:u w:val="single"/>
        </w:rPr>
        <w:t>Good Practice Principles</w:t>
      </w:r>
    </w:p>
    <w:p w14:paraId="3802790F" w14:textId="77777777" w:rsidR="000E449D" w:rsidRPr="000858F6" w:rsidRDefault="000E449D" w:rsidP="000E449D">
      <w:pPr>
        <w:pStyle w:val="ListParagraph"/>
        <w:numPr>
          <w:ilvl w:val="0"/>
          <w:numId w:val="4"/>
        </w:numPr>
        <w:spacing w:after="0" w:line="240" w:lineRule="auto"/>
        <w:jc w:val="both"/>
        <w:rPr>
          <w:rFonts w:ascii="Arial" w:hAnsi="Arial" w:cs="Arial"/>
          <w:color w:val="000000" w:themeColor="text1"/>
        </w:rPr>
      </w:pPr>
      <w:r w:rsidRPr="000858F6">
        <w:rPr>
          <w:rStyle w:val="Strong"/>
          <w:rFonts w:ascii="Arial" w:hAnsi="Arial" w:cs="Arial"/>
          <w:color w:val="000000" w:themeColor="text1"/>
          <w:bdr w:val="none" w:sz="0" w:space="0" w:color="auto" w:frame="1"/>
        </w:rPr>
        <w:t>Multi-agency</w:t>
      </w:r>
      <w:r w:rsidRPr="000858F6">
        <w:rPr>
          <w:rFonts w:ascii="Arial" w:hAnsi="Arial" w:cs="Arial"/>
          <w:color w:val="000000" w:themeColor="text1"/>
        </w:rPr>
        <w:t> – work with partners to ensure the right approach for each individual.</w:t>
      </w:r>
    </w:p>
    <w:p w14:paraId="51EB12C8" w14:textId="77777777" w:rsidR="000E449D" w:rsidRPr="000858F6" w:rsidRDefault="000E449D" w:rsidP="000E449D">
      <w:pPr>
        <w:pStyle w:val="ListParagraph"/>
        <w:numPr>
          <w:ilvl w:val="0"/>
          <w:numId w:val="4"/>
        </w:numPr>
        <w:spacing w:after="0" w:line="240" w:lineRule="auto"/>
        <w:jc w:val="both"/>
        <w:rPr>
          <w:rFonts w:ascii="Arial" w:hAnsi="Arial" w:cs="Arial"/>
          <w:color w:val="000000" w:themeColor="text1"/>
        </w:rPr>
      </w:pPr>
      <w:r w:rsidRPr="000858F6">
        <w:rPr>
          <w:rStyle w:val="Strong"/>
          <w:rFonts w:ascii="Arial" w:hAnsi="Arial" w:cs="Arial"/>
          <w:color w:val="000000" w:themeColor="text1"/>
          <w:bdr w:val="none" w:sz="0" w:space="0" w:color="auto" w:frame="1"/>
        </w:rPr>
        <w:t>Person centred</w:t>
      </w:r>
      <w:r w:rsidRPr="000858F6">
        <w:rPr>
          <w:rFonts w:ascii="Arial" w:hAnsi="Arial" w:cs="Arial"/>
          <w:color w:val="000000" w:themeColor="text1"/>
        </w:rPr>
        <w:t> – respect the views and the perspective of the individual, listen to them and work towards the outcomes they want.</w:t>
      </w:r>
    </w:p>
    <w:p w14:paraId="423C76CC" w14:textId="77777777" w:rsidR="000E449D" w:rsidRPr="000858F6" w:rsidRDefault="000E449D" w:rsidP="000E449D">
      <w:pPr>
        <w:pStyle w:val="ListParagraph"/>
        <w:numPr>
          <w:ilvl w:val="0"/>
          <w:numId w:val="4"/>
        </w:numPr>
        <w:spacing w:after="0" w:line="240" w:lineRule="auto"/>
        <w:jc w:val="both"/>
        <w:rPr>
          <w:rFonts w:ascii="Arial" w:hAnsi="Arial" w:cs="Arial"/>
          <w:color w:val="000000" w:themeColor="text1"/>
        </w:rPr>
      </w:pPr>
      <w:r w:rsidRPr="000858F6">
        <w:rPr>
          <w:rStyle w:val="Strong"/>
          <w:rFonts w:ascii="Arial" w:hAnsi="Arial" w:cs="Arial"/>
          <w:color w:val="000000" w:themeColor="text1"/>
          <w:bdr w:val="none" w:sz="0" w:space="0" w:color="auto" w:frame="1"/>
        </w:rPr>
        <w:t>Acceptance</w:t>
      </w:r>
      <w:r w:rsidRPr="000858F6">
        <w:rPr>
          <w:rFonts w:ascii="Arial" w:hAnsi="Arial" w:cs="Arial"/>
          <w:color w:val="000000" w:themeColor="text1"/>
        </w:rPr>
        <w:t> – good risk management may be the best achievable outcome; it may not be possible to change the person’s lifestyle or behaviour.</w:t>
      </w:r>
    </w:p>
    <w:p w14:paraId="24A6386B" w14:textId="77777777" w:rsidR="000E449D" w:rsidRPr="000858F6" w:rsidRDefault="000E449D" w:rsidP="000E449D">
      <w:pPr>
        <w:pStyle w:val="ListParagraph"/>
        <w:numPr>
          <w:ilvl w:val="0"/>
          <w:numId w:val="4"/>
        </w:numPr>
        <w:spacing w:after="0" w:line="240" w:lineRule="auto"/>
        <w:jc w:val="both"/>
        <w:rPr>
          <w:rFonts w:ascii="Arial" w:hAnsi="Arial" w:cs="Arial"/>
          <w:color w:val="000000" w:themeColor="text1"/>
        </w:rPr>
      </w:pPr>
      <w:r w:rsidRPr="000858F6">
        <w:rPr>
          <w:rStyle w:val="Strong"/>
          <w:rFonts w:ascii="Arial" w:hAnsi="Arial" w:cs="Arial"/>
          <w:color w:val="000000" w:themeColor="text1"/>
          <w:bdr w:val="none" w:sz="0" w:space="0" w:color="auto" w:frame="1"/>
        </w:rPr>
        <w:t>Analytical</w:t>
      </w:r>
      <w:r w:rsidRPr="000858F6">
        <w:rPr>
          <w:rFonts w:ascii="Arial" w:hAnsi="Arial" w:cs="Arial"/>
          <w:color w:val="000000" w:themeColor="text1"/>
        </w:rPr>
        <w:t xml:space="preserve"> – it may be possible to identify underlying causes that help to address the issue. </w:t>
      </w:r>
      <w:r w:rsidRPr="000858F6">
        <w:rPr>
          <w:rFonts w:ascii="Arial" w:hAnsi="Arial" w:cs="Arial"/>
          <w:color w:val="000000" w:themeColor="text1"/>
          <w:lang w:val="en-US"/>
        </w:rPr>
        <w:t>Understand their life history and current circumstances and how they connect to self-neglect, loss, grief, harm, mental health, cognitive impairment.</w:t>
      </w:r>
    </w:p>
    <w:p w14:paraId="7FED393F" w14:textId="77777777" w:rsidR="000E449D" w:rsidRPr="000858F6" w:rsidRDefault="000E449D" w:rsidP="000E449D">
      <w:pPr>
        <w:pStyle w:val="ListParagraph"/>
        <w:numPr>
          <w:ilvl w:val="0"/>
          <w:numId w:val="4"/>
        </w:numPr>
        <w:spacing w:after="0" w:line="240" w:lineRule="auto"/>
        <w:jc w:val="both"/>
        <w:rPr>
          <w:rFonts w:ascii="Arial" w:hAnsi="Arial" w:cs="Arial"/>
          <w:color w:val="000000" w:themeColor="text1"/>
        </w:rPr>
      </w:pPr>
      <w:r w:rsidRPr="000858F6">
        <w:rPr>
          <w:rStyle w:val="Strong"/>
          <w:rFonts w:ascii="Arial" w:hAnsi="Arial" w:cs="Arial"/>
          <w:color w:val="000000" w:themeColor="text1"/>
          <w:bdr w:val="none" w:sz="0" w:space="0" w:color="auto" w:frame="1"/>
        </w:rPr>
        <w:t>Trust</w:t>
      </w:r>
      <w:r w:rsidRPr="000858F6">
        <w:rPr>
          <w:rFonts w:ascii="Arial" w:hAnsi="Arial" w:cs="Arial"/>
          <w:color w:val="000000" w:themeColor="text1"/>
        </w:rPr>
        <w:t> – try to build trust and agree small steps.</w:t>
      </w:r>
    </w:p>
    <w:p w14:paraId="4ABA35E6" w14:textId="77777777" w:rsidR="000E449D" w:rsidRPr="000858F6" w:rsidRDefault="000E449D" w:rsidP="000E449D">
      <w:pPr>
        <w:pStyle w:val="ListParagraph"/>
        <w:numPr>
          <w:ilvl w:val="0"/>
          <w:numId w:val="4"/>
        </w:numPr>
        <w:spacing w:after="0" w:line="240" w:lineRule="auto"/>
        <w:jc w:val="both"/>
        <w:rPr>
          <w:rFonts w:ascii="Arial" w:hAnsi="Arial" w:cs="Arial"/>
          <w:color w:val="000000" w:themeColor="text1"/>
        </w:rPr>
      </w:pPr>
      <w:r w:rsidRPr="000858F6">
        <w:rPr>
          <w:rStyle w:val="Strong"/>
          <w:rFonts w:ascii="Arial" w:hAnsi="Arial" w:cs="Arial"/>
          <w:color w:val="000000" w:themeColor="text1"/>
          <w:bdr w:val="none" w:sz="0" w:space="0" w:color="auto" w:frame="1"/>
        </w:rPr>
        <w:t>Reassurance</w:t>
      </w:r>
      <w:r w:rsidRPr="000858F6">
        <w:rPr>
          <w:rFonts w:ascii="Arial" w:hAnsi="Arial" w:cs="Arial"/>
          <w:color w:val="000000" w:themeColor="text1"/>
        </w:rPr>
        <w:t> – the person may fear losing control, it is important to allay such fears.</w:t>
      </w:r>
    </w:p>
    <w:p w14:paraId="64B296E3" w14:textId="77777777" w:rsidR="000E449D" w:rsidRPr="000858F6" w:rsidRDefault="000E449D" w:rsidP="000E449D">
      <w:pPr>
        <w:pStyle w:val="ListParagraph"/>
        <w:numPr>
          <w:ilvl w:val="0"/>
          <w:numId w:val="4"/>
        </w:numPr>
        <w:spacing w:after="0" w:line="240" w:lineRule="auto"/>
        <w:jc w:val="both"/>
        <w:rPr>
          <w:rFonts w:ascii="Arial" w:hAnsi="Arial" w:cs="Arial"/>
          <w:color w:val="000000" w:themeColor="text1"/>
        </w:rPr>
      </w:pPr>
      <w:r w:rsidRPr="000858F6">
        <w:rPr>
          <w:rStyle w:val="Strong"/>
          <w:rFonts w:ascii="Arial" w:hAnsi="Arial" w:cs="Arial"/>
          <w:color w:val="000000" w:themeColor="text1"/>
          <w:bdr w:val="none" w:sz="0" w:space="0" w:color="auto" w:frame="1"/>
        </w:rPr>
        <w:t>Exploring alternatives</w:t>
      </w:r>
      <w:r w:rsidRPr="000858F6">
        <w:rPr>
          <w:rFonts w:ascii="Arial" w:hAnsi="Arial" w:cs="Arial"/>
          <w:color w:val="000000" w:themeColor="text1"/>
        </w:rPr>
        <w:t> – fear of change may be an issue so explaining that there are alternative ways forward may encourage the person to engage.</w:t>
      </w:r>
    </w:p>
    <w:p w14:paraId="3253769B" w14:textId="77777777" w:rsidR="000E449D" w:rsidRPr="000858F6" w:rsidRDefault="000E449D" w:rsidP="000E449D">
      <w:pPr>
        <w:pStyle w:val="ListParagraph"/>
        <w:numPr>
          <w:ilvl w:val="0"/>
          <w:numId w:val="4"/>
        </w:numPr>
        <w:spacing w:after="0" w:line="240" w:lineRule="auto"/>
        <w:jc w:val="both"/>
        <w:rPr>
          <w:rFonts w:ascii="Arial" w:hAnsi="Arial" w:cs="Arial"/>
          <w:color w:val="000000" w:themeColor="text1"/>
        </w:rPr>
      </w:pPr>
      <w:r w:rsidRPr="000858F6">
        <w:rPr>
          <w:rStyle w:val="Strong"/>
          <w:rFonts w:ascii="Arial" w:hAnsi="Arial" w:cs="Arial"/>
          <w:color w:val="000000" w:themeColor="text1"/>
          <w:bdr w:val="none" w:sz="0" w:space="0" w:color="auto" w:frame="1"/>
        </w:rPr>
        <w:t>Always go back</w:t>
      </w:r>
      <w:r w:rsidRPr="000858F6">
        <w:rPr>
          <w:rFonts w:ascii="Arial" w:hAnsi="Arial" w:cs="Arial"/>
          <w:color w:val="000000" w:themeColor="text1"/>
        </w:rPr>
        <w:t> – regular, encouraging engagement and gentle persistence may help with progress and risk management.</w:t>
      </w:r>
    </w:p>
    <w:p w14:paraId="46F9E09D" w14:textId="77777777" w:rsidR="000E449D" w:rsidRPr="000858F6" w:rsidRDefault="000E449D" w:rsidP="000E449D">
      <w:pPr>
        <w:pStyle w:val="ListParagraph"/>
        <w:numPr>
          <w:ilvl w:val="0"/>
          <w:numId w:val="5"/>
        </w:numPr>
        <w:spacing w:after="0" w:line="240" w:lineRule="auto"/>
        <w:rPr>
          <w:rFonts w:ascii="Arial" w:hAnsi="Arial" w:cs="Arial"/>
          <w:color w:val="000000" w:themeColor="text1"/>
        </w:rPr>
      </w:pPr>
      <w:r w:rsidRPr="000858F6">
        <w:rPr>
          <w:rStyle w:val="Strong"/>
          <w:rFonts w:ascii="Arial" w:hAnsi="Arial" w:cs="Arial"/>
          <w:color w:val="000000" w:themeColor="text1"/>
          <w:bdr w:val="none" w:sz="0" w:space="0" w:color="auto" w:frame="1"/>
        </w:rPr>
        <w:t>Risk assessment</w:t>
      </w:r>
      <w:r w:rsidRPr="000858F6">
        <w:rPr>
          <w:rFonts w:ascii="Arial" w:hAnsi="Arial" w:cs="Arial"/>
          <w:color w:val="000000" w:themeColor="text1"/>
        </w:rPr>
        <w:t> – have effective, multi-agency approaches to assessing and monitoring risk.</w:t>
      </w:r>
    </w:p>
    <w:p w14:paraId="7B2ACBBC" w14:textId="77777777" w:rsidR="000E449D" w:rsidRPr="000858F6" w:rsidRDefault="000E449D" w:rsidP="000E449D">
      <w:pPr>
        <w:pStyle w:val="ListParagraph"/>
        <w:numPr>
          <w:ilvl w:val="0"/>
          <w:numId w:val="5"/>
        </w:numPr>
        <w:spacing w:after="0" w:line="240" w:lineRule="auto"/>
        <w:rPr>
          <w:rFonts w:ascii="Arial" w:hAnsi="Arial" w:cs="Arial"/>
          <w:color w:val="000000" w:themeColor="text1"/>
        </w:rPr>
      </w:pPr>
      <w:r w:rsidRPr="000858F6">
        <w:rPr>
          <w:rStyle w:val="Strong"/>
          <w:rFonts w:ascii="Arial" w:hAnsi="Arial" w:cs="Arial"/>
          <w:color w:val="000000" w:themeColor="text1"/>
          <w:bdr w:val="none" w:sz="0" w:space="0" w:color="auto" w:frame="1"/>
        </w:rPr>
        <w:lastRenderedPageBreak/>
        <w:t>Consider capacity</w:t>
      </w:r>
      <w:r w:rsidRPr="000858F6">
        <w:rPr>
          <w:rFonts w:ascii="Arial" w:hAnsi="Arial" w:cs="Arial"/>
          <w:color w:val="000000" w:themeColor="text1"/>
        </w:rPr>
        <w:t> – ensure practitioners are aware of capacity issues and what to do if there are concerns that a person lacks decision-making capacity.</w:t>
      </w:r>
    </w:p>
    <w:p w14:paraId="33D6F04C" w14:textId="77777777" w:rsidR="000E449D" w:rsidRPr="000858F6" w:rsidRDefault="000E449D" w:rsidP="000E449D">
      <w:pPr>
        <w:pStyle w:val="ListParagraph"/>
        <w:numPr>
          <w:ilvl w:val="0"/>
          <w:numId w:val="5"/>
        </w:numPr>
        <w:spacing w:after="0" w:line="240" w:lineRule="auto"/>
        <w:rPr>
          <w:rFonts w:ascii="Arial" w:hAnsi="Arial" w:cs="Arial"/>
          <w:color w:val="000000" w:themeColor="text1"/>
        </w:rPr>
      </w:pPr>
      <w:r w:rsidRPr="000858F6">
        <w:rPr>
          <w:rStyle w:val="Strong"/>
          <w:rFonts w:ascii="Arial" w:hAnsi="Arial" w:cs="Arial"/>
          <w:color w:val="000000" w:themeColor="text1"/>
          <w:bdr w:val="none" w:sz="0" w:space="0" w:color="auto" w:frame="1"/>
        </w:rPr>
        <w:t>Alcohol &amp; Drugs or Mental health assessment</w:t>
      </w:r>
      <w:r w:rsidRPr="000858F6">
        <w:rPr>
          <w:rFonts w:ascii="Arial" w:hAnsi="Arial" w:cs="Arial"/>
          <w:color w:val="000000" w:themeColor="text1"/>
        </w:rPr>
        <w:t> – it may be appropriate to refer an individual for support to recover from alcohol or drug issues, or a mental health issue.</w:t>
      </w:r>
    </w:p>
    <w:p w14:paraId="57CD56F8" w14:textId="77777777" w:rsidR="000E449D" w:rsidRPr="000858F6" w:rsidRDefault="000E449D" w:rsidP="000E449D">
      <w:pPr>
        <w:pStyle w:val="ListParagraph"/>
        <w:numPr>
          <w:ilvl w:val="0"/>
          <w:numId w:val="5"/>
        </w:numPr>
        <w:rPr>
          <w:rFonts w:ascii="Arial" w:hAnsi="Arial" w:cs="Arial"/>
          <w:color w:val="000000" w:themeColor="text1"/>
        </w:rPr>
      </w:pPr>
      <w:r w:rsidRPr="000858F6">
        <w:rPr>
          <w:rFonts w:ascii="Arial" w:hAnsi="Arial" w:cs="Arial"/>
          <w:b/>
          <w:bCs/>
          <w:color w:val="000000" w:themeColor="text1"/>
        </w:rPr>
        <w:t>Consider relevant legal responsibilities and tools</w:t>
      </w:r>
      <w:r w:rsidRPr="000858F6">
        <w:rPr>
          <w:rFonts w:ascii="Arial" w:hAnsi="Arial" w:cs="Arial"/>
          <w:color w:val="000000" w:themeColor="text1"/>
        </w:rPr>
        <w:t xml:space="preserve"> – it may be appropriate to consider other pieces of legislation to support the adult (e.g. </w:t>
      </w:r>
      <w:hyperlink r:id="rId12" w:history="1">
        <w:r w:rsidRPr="000858F6">
          <w:rPr>
            <w:rStyle w:val="Hyperlink"/>
            <w:rFonts w:ascii="Arial" w:hAnsi="Arial" w:cs="Arial"/>
            <w:color w:val="A02B93" w:themeColor="accent5"/>
          </w:rPr>
          <w:t>Adults with Incapacity (Scotland) Act 2000</w:t>
        </w:r>
      </w:hyperlink>
      <w:r w:rsidRPr="000858F6">
        <w:rPr>
          <w:rFonts w:ascii="Arial" w:hAnsi="Arial" w:cs="Arial"/>
          <w:color w:val="A02B93" w:themeColor="accent5"/>
        </w:rPr>
        <w:t xml:space="preserve"> , </w:t>
      </w:r>
      <w:hyperlink r:id="rId13" w:history="1">
        <w:r w:rsidRPr="000858F6">
          <w:rPr>
            <w:rStyle w:val="Hyperlink"/>
            <w:rFonts w:ascii="Arial" w:hAnsi="Arial" w:cs="Arial"/>
            <w:color w:val="A02B93" w:themeColor="accent5"/>
          </w:rPr>
          <w:t xml:space="preserve">Mental Health (Care and Treatment) (Scotland) Act 2003 </w:t>
        </w:r>
      </w:hyperlink>
      <w:r w:rsidRPr="000858F6">
        <w:rPr>
          <w:rFonts w:ascii="Arial" w:hAnsi="Arial" w:cs="Arial"/>
          <w:color w:val="A02B93" w:themeColor="accent5"/>
        </w:rPr>
        <w:t xml:space="preserve"> , </w:t>
      </w:r>
      <w:hyperlink r:id="rId14" w:history="1">
        <w:r w:rsidRPr="000858F6">
          <w:rPr>
            <w:rStyle w:val="Hyperlink"/>
            <w:rFonts w:ascii="Arial" w:hAnsi="Arial" w:cs="Arial"/>
            <w:color w:val="A02B93" w:themeColor="accent5"/>
          </w:rPr>
          <w:t>Public Health etc. (Scotland) Act 2008</w:t>
        </w:r>
      </w:hyperlink>
      <w:r w:rsidRPr="000858F6">
        <w:rPr>
          <w:rFonts w:ascii="Arial" w:hAnsi="Arial" w:cs="Arial"/>
          <w:color w:val="A02B93" w:themeColor="accent5"/>
        </w:rPr>
        <w:t xml:space="preserve"> , </w:t>
      </w:r>
      <w:hyperlink r:id="rId15" w:history="1">
        <w:r w:rsidRPr="000858F6">
          <w:rPr>
            <w:rStyle w:val="Hyperlink"/>
            <w:rFonts w:ascii="Arial" w:hAnsi="Arial" w:cs="Arial"/>
            <w:color w:val="A02B93" w:themeColor="accent5"/>
          </w:rPr>
          <w:t>Housing (Scotland) Act 2006</w:t>
        </w:r>
      </w:hyperlink>
      <w:r w:rsidRPr="000858F6">
        <w:rPr>
          <w:rFonts w:ascii="Arial" w:hAnsi="Arial" w:cs="Arial"/>
          <w:color w:val="A02B93" w:themeColor="accent5"/>
        </w:rPr>
        <w:t xml:space="preserve"> , </w:t>
      </w:r>
      <w:hyperlink r:id="rId16" w:history="1">
        <w:r w:rsidRPr="000858F6">
          <w:rPr>
            <w:rStyle w:val="Hyperlink"/>
            <w:rFonts w:ascii="Arial" w:hAnsi="Arial" w:cs="Arial"/>
            <w:color w:val="A02B93" w:themeColor="accent5"/>
          </w:rPr>
          <w:t>Antisocial Behaviour etc. (Scotland) Act 2004</w:t>
        </w:r>
      </w:hyperlink>
      <w:r w:rsidRPr="000858F6">
        <w:rPr>
          <w:rFonts w:ascii="Arial" w:hAnsi="Arial" w:cs="Arial"/>
          <w:color w:val="A02B93" w:themeColor="accent5"/>
        </w:rPr>
        <w:t xml:space="preserve">, </w:t>
      </w:r>
      <w:hyperlink r:id="rId17" w:history="1">
        <w:r w:rsidRPr="000858F6">
          <w:rPr>
            <w:rStyle w:val="Hyperlink"/>
            <w:rFonts w:ascii="Arial" w:hAnsi="Arial" w:cs="Arial"/>
            <w:color w:val="A02B93" w:themeColor="accent5"/>
          </w:rPr>
          <w:t>Environmental Protection Act 1990</w:t>
        </w:r>
      </w:hyperlink>
      <w:r w:rsidRPr="000858F6">
        <w:rPr>
          <w:rFonts w:ascii="Arial" w:hAnsi="Arial" w:cs="Arial"/>
          <w:color w:val="A02B93" w:themeColor="accent5"/>
        </w:rPr>
        <w:t xml:space="preserve"> , </w:t>
      </w:r>
      <w:hyperlink r:id="rId18" w:history="1">
        <w:r w:rsidRPr="000858F6">
          <w:rPr>
            <w:rStyle w:val="Hyperlink"/>
            <w:rFonts w:ascii="Arial" w:hAnsi="Arial" w:cs="Arial"/>
            <w:color w:val="A02B93" w:themeColor="accent5"/>
          </w:rPr>
          <w:t xml:space="preserve">Prevention of Damage by Pests Act 1949 </w:t>
        </w:r>
      </w:hyperlink>
      <w:r w:rsidRPr="000858F6">
        <w:rPr>
          <w:rFonts w:ascii="Arial" w:hAnsi="Arial" w:cs="Arial"/>
          <w:color w:val="A02B93" w:themeColor="accent5"/>
        </w:rPr>
        <w:t>).</w:t>
      </w:r>
    </w:p>
    <w:p w14:paraId="7B8E4D3E" w14:textId="77777777" w:rsidR="000E449D" w:rsidRPr="000858F6" w:rsidRDefault="000E449D" w:rsidP="000E449D">
      <w:pPr>
        <w:pStyle w:val="ListParagraph"/>
        <w:numPr>
          <w:ilvl w:val="0"/>
          <w:numId w:val="5"/>
        </w:numPr>
        <w:spacing w:after="0" w:line="240" w:lineRule="auto"/>
        <w:rPr>
          <w:rFonts w:ascii="Arial" w:hAnsi="Arial" w:cs="Arial"/>
          <w:color w:val="000000" w:themeColor="text1"/>
        </w:rPr>
      </w:pPr>
      <w:r w:rsidRPr="000858F6">
        <w:rPr>
          <w:rStyle w:val="Strong"/>
          <w:rFonts w:ascii="Arial" w:hAnsi="Arial" w:cs="Arial"/>
          <w:color w:val="000000" w:themeColor="text1"/>
          <w:bdr w:val="none" w:sz="0" w:space="0" w:color="auto" w:frame="1"/>
        </w:rPr>
        <w:t>Contact family</w:t>
      </w:r>
      <w:r w:rsidRPr="000858F6">
        <w:rPr>
          <w:rFonts w:ascii="Arial" w:hAnsi="Arial" w:cs="Arial"/>
          <w:color w:val="000000" w:themeColor="text1"/>
        </w:rPr>
        <w:t> – with the person’s consent, try to engage family or friends to provide additional support.</w:t>
      </w:r>
    </w:p>
    <w:p w14:paraId="6F8A4A57" w14:textId="67BDDA87" w:rsidR="000E449D" w:rsidRPr="000858F6" w:rsidRDefault="000E449D" w:rsidP="000E449D">
      <w:pPr>
        <w:pStyle w:val="ListParagraph"/>
        <w:numPr>
          <w:ilvl w:val="0"/>
          <w:numId w:val="5"/>
        </w:numPr>
        <w:rPr>
          <w:rFonts w:ascii="Arial" w:hAnsi="Arial" w:cs="Arial"/>
          <w:color w:val="000000" w:themeColor="text1"/>
        </w:rPr>
      </w:pPr>
      <w:r w:rsidRPr="000858F6">
        <w:rPr>
          <w:rStyle w:val="Strong"/>
          <w:rFonts w:ascii="Arial" w:hAnsi="Arial" w:cs="Arial"/>
          <w:color w:val="000000" w:themeColor="text1"/>
          <w:bdr w:val="none" w:sz="0" w:space="0" w:color="auto" w:frame="1"/>
        </w:rPr>
        <w:t xml:space="preserve">Accept a reduction </w:t>
      </w:r>
      <w:r w:rsidRPr="000858F6">
        <w:rPr>
          <w:rFonts w:ascii="Arial" w:hAnsi="Arial" w:cs="Arial"/>
          <w:color w:val="000000" w:themeColor="text1"/>
        </w:rPr>
        <w:t xml:space="preserve">- </w:t>
      </w:r>
      <w:r w:rsidRPr="000858F6">
        <w:rPr>
          <w:rFonts w:ascii="Arial" w:hAnsi="Arial" w:cs="Arial"/>
          <w:color w:val="000000" w:themeColor="text1"/>
          <w:lang w:val="en-US"/>
        </w:rPr>
        <w:t>Negotiate the level of intervention the adult can tolerate, are we able to contain the risk rather than fully remove the risk?</w:t>
      </w:r>
      <w:r w:rsidRPr="000858F6">
        <w:rPr>
          <w:rFonts w:ascii="Arial" w:hAnsi="Arial" w:cs="Arial"/>
          <w:color w:val="000000" w:themeColor="text1"/>
        </w:rPr>
        <w:t xml:space="preserve"> </w:t>
      </w:r>
    </w:p>
    <w:p w14:paraId="2752D747" w14:textId="77777777" w:rsidR="000E449D" w:rsidRPr="000858F6" w:rsidRDefault="000E449D" w:rsidP="000E449D">
      <w:pPr>
        <w:pStyle w:val="ListParagraph"/>
        <w:rPr>
          <w:rFonts w:ascii="Arial" w:hAnsi="Arial" w:cs="Arial"/>
          <w:color w:val="000000" w:themeColor="text1"/>
        </w:rPr>
      </w:pPr>
    </w:p>
    <w:p w14:paraId="749BD52F" w14:textId="1E1E8427" w:rsidR="000E449D" w:rsidRPr="000858F6" w:rsidRDefault="000E449D" w:rsidP="000E449D">
      <w:pPr>
        <w:jc w:val="both"/>
        <w:rPr>
          <w:rFonts w:ascii="Arial" w:hAnsi="Arial" w:cs="Arial"/>
          <w:b/>
          <w:u w:val="single"/>
        </w:rPr>
      </w:pPr>
      <w:r w:rsidRPr="000858F6">
        <w:rPr>
          <w:rFonts w:ascii="Arial" w:hAnsi="Arial" w:cs="Arial"/>
          <w:b/>
          <w:u w:val="single"/>
        </w:rPr>
        <w:t xml:space="preserve">Managerial Oversight </w:t>
      </w:r>
    </w:p>
    <w:p w14:paraId="611E0F3A" w14:textId="1782163D" w:rsidR="000E449D" w:rsidRPr="000858F6" w:rsidRDefault="000E449D" w:rsidP="000E449D">
      <w:pPr>
        <w:jc w:val="both"/>
        <w:rPr>
          <w:rFonts w:ascii="Arial" w:hAnsi="Arial" w:cs="Arial"/>
          <w:bCs/>
        </w:rPr>
      </w:pPr>
      <w:r w:rsidRPr="000858F6">
        <w:rPr>
          <w:rFonts w:ascii="Arial" w:hAnsi="Arial" w:cs="Arial"/>
          <w:bCs/>
        </w:rPr>
        <w:t>Managers have a responsibility to support practitioners in making defensible decisions. Management oversight and governance, including the rationale for signing off decisions, should be evident within case records, including where no further action has been taken. Managers should take a fresh look at a case, with a degree of ‘healthy scepticism’ and challenge. This can help practitioners take a more balanced and informed view of a case and identify appropriate interventions and responses than through working in isolation.</w:t>
      </w:r>
    </w:p>
    <w:p w14:paraId="593B20F9" w14:textId="0BAFFA16" w:rsidR="000E449D" w:rsidRPr="000858F6" w:rsidRDefault="000E449D" w:rsidP="000E449D">
      <w:pPr>
        <w:pStyle w:val="Default"/>
        <w:jc w:val="both"/>
        <w:rPr>
          <w:rFonts w:ascii="Arial" w:hAnsi="Arial" w:cs="Arial"/>
          <w:color w:val="000000" w:themeColor="text1"/>
          <w:sz w:val="22"/>
          <w:szCs w:val="22"/>
        </w:rPr>
      </w:pPr>
      <w:r w:rsidRPr="000858F6">
        <w:rPr>
          <w:rFonts w:ascii="Arial" w:hAnsi="Arial" w:cs="Arial"/>
          <w:color w:val="000000" w:themeColor="text1"/>
          <w:sz w:val="22"/>
          <w:szCs w:val="22"/>
        </w:rPr>
        <w:t xml:space="preserve">Support for practitioners must include time for regular one to one supervision with their line manager which provides them with the opportunity to meet with someone with the skills to foster reflective practice, provide a safe space and help practitioners to speak about the impact of </w:t>
      </w:r>
      <w:r w:rsidR="00BB2652">
        <w:rPr>
          <w:rFonts w:ascii="Arial" w:hAnsi="Arial" w:cs="Arial"/>
          <w:color w:val="000000" w:themeColor="text1"/>
          <w:sz w:val="22"/>
          <w:szCs w:val="22"/>
        </w:rPr>
        <w:t>working with adults/carers who they are struggling to engage with</w:t>
      </w:r>
      <w:r w:rsidRPr="000858F6">
        <w:rPr>
          <w:rFonts w:ascii="Arial" w:hAnsi="Arial" w:cs="Arial"/>
          <w:color w:val="000000" w:themeColor="text1"/>
          <w:sz w:val="22"/>
          <w:szCs w:val="22"/>
        </w:rPr>
        <w:t xml:space="preserve">. Managers must create environments that give permission for practitioners to acknowledge the impact of their work on them as individuals, in a way that is non-stigmatising, and which can help lead to increased support in the workplace. </w:t>
      </w:r>
      <w:r w:rsidRPr="000858F6">
        <w:rPr>
          <w:rFonts w:ascii="Arial" w:hAnsi="Arial" w:cs="Arial"/>
          <w:sz w:val="22"/>
          <w:szCs w:val="22"/>
        </w:rPr>
        <w:t xml:space="preserve">In the absence of formal supervision systems, advice should be sought from an appropriate </w:t>
      </w:r>
      <w:r w:rsidRPr="000858F6">
        <w:rPr>
          <w:rFonts w:ascii="Arial" w:hAnsi="Arial" w:cs="Arial"/>
          <w:color w:val="000000" w:themeColor="text1"/>
          <w:sz w:val="22"/>
          <w:szCs w:val="22"/>
        </w:rPr>
        <w:t xml:space="preserve">manager in the first instance. </w:t>
      </w:r>
    </w:p>
    <w:p w14:paraId="3ED1C484" w14:textId="77777777" w:rsidR="000E449D" w:rsidRPr="000858F6" w:rsidRDefault="000E449D" w:rsidP="000E449D">
      <w:pPr>
        <w:shd w:val="clear" w:color="auto" w:fill="FFFFFF" w:themeFill="background1"/>
        <w:jc w:val="both"/>
        <w:rPr>
          <w:rFonts w:ascii="Arial" w:hAnsi="Arial" w:cs="Arial"/>
        </w:rPr>
      </w:pPr>
    </w:p>
    <w:p w14:paraId="09682E5C" w14:textId="77777777" w:rsidR="00B46F39" w:rsidRDefault="00B46F39"/>
    <w:sectPr w:rsidR="00B46F3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6000" w14:textId="77777777" w:rsidR="00873765" w:rsidRDefault="00873765" w:rsidP="00473E52">
      <w:pPr>
        <w:spacing w:after="0" w:line="240" w:lineRule="auto"/>
      </w:pPr>
      <w:r>
        <w:separator/>
      </w:r>
    </w:p>
  </w:endnote>
  <w:endnote w:type="continuationSeparator" w:id="0">
    <w:p w14:paraId="2E9D29F9" w14:textId="77777777" w:rsidR="00873765" w:rsidRDefault="00873765" w:rsidP="0047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880895"/>
      <w:docPartObj>
        <w:docPartGallery w:val="Page Numbers (Bottom of Page)"/>
        <w:docPartUnique/>
      </w:docPartObj>
    </w:sdtPr>
    <w:sdtEndPr/>
    <w:sdtContent>
      <w:p w14:paraId="3AC3DFED" w14:textId="57A389EF" w:rsidR="00473E52" w:rsidRDefault="00473E52">
        <w:pPr>
          <w:pStyle w:val="Footer"/>
          <w:jc w:val="right"/>
        </w:pPr>
        <w:r>
          <w:fldChar w:fldCharType="begin"/>
        </w:r>
        <w:r>
          <w:instrText>PAGE   \* MERGEFORMAT</w:instrText>
        </w:r>
        <w:r>
          <w:fldChar w:fldCharType="separate"/>
        </w:r>
        <w:r>
          <w:t>2</w:t>
        </w:r>
        <w:r>
          <w:fldChar w:fldCharType="end"/>
        </w:r>
      </w:p>
    </w:sdtContent>
  </w:sdt>
  <w:p w14:paraId="2954626A" w14:textId="77777777" w:rsidR="00473E52" w:rsidRDefault="0047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A826" w14:textId="77777777" w:rsidR="00873765" w:rsidRDefault="00873765" w:rsidP="00473E52">
      <w:pPr>
        <w:spacing w:after="0" w:line="240" w:lineRule="auto"/>
      </w:pPr>
      <w:r>
        <w:separator/>
      </w:r>
    </w:p>
  </w:footnote>
  <w:footnote w:type="continuationSeparator" w:id="0">
    <w:p w14:paraId="37E06074" w14:textId="77777777" w:rsidR="00873765" w:rsidRDefault="00873765" w:rsidP="00473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109A"/>
    <w:multiLevelType w:val="hybridMultilevel"/>
    <w:tmpl w:val="C13A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076FA"/>
    <w:multiLevelType w:val="hybridMultilevel"/>
    <w:tmpl w:val="695C5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D7927"/>
    <w:multiLevelType w:val="hybridMultilevel"/>
    <w:tmpl w:val="317E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0A1923"/>
    <w:multiLevelType w:val="hybridMultilevel"/>
    <w:tmpl w:val="FDEE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4B6D38"/>
    <w:multiLevelType w:val="hybridMultilevel"/>
    <w:tmpl w:val="339EC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439426">
    <w:abstractNumId w:val="1"/>
  </w:num>
  <w:num w:numId="2" w16cid:durableId="398139618">
    <w:abstractNumId w:val="4"/>
  </w:num>
  <w:num w:numId="3" w16cid:durableId="256066011">
    <w:abstractNumId w:val="2"/>
  </w:num>
  <w:num w:numId="4" w16cid:durableId="102851299">
    <w:abstractNumId w:val="3"/>
  </w:num>
  <w:num w:numId="5" w16cid:durableId="94222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9D"/>
    <w:rsid w:val="000707C0"/>
    <w:rsid w:val="000858F6"/>
    <w:rsid w:val="000E449D"/>
    <w:rsid w:val="000E64E8"/>
    <w:rsid w:val="00180228"/>
    <w:rsid w:val="001F2EFA"/>
    <w:rsid w:val="00473E52"/>
    <w:rsid w:val="005B3F07"/>
    <w:rsid w:val="006C35C3"/>
    <w:rsid w:val="00873765"/>
    <w:rsid w:val="008F4F3D"/>
    <w:rsid w:val="00963F10"/>
    <w:rsid w:val="009C4463"/>
    <w:rsid w:val="00B41E25"/>
    <w:rsid w:val="00B46F39"/>
    <w:rsid w:val="00BB2652"/>
    <w:rsid w:val="00C33286"/>
    <w:rsid w:val="00CA3DE5"/>
    <w:rsid w:val="00E94E8D"/>
    <w:rsid w:val="00EB66FE"/>
    <w:rsid w:val="00F20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CC61"/>
  <w15:chartTrackingRefBased/>
  <w15:docId w15:val="{5C533FA7-3216-46E9-A3FE-E0FD2EF0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9D"/>
    <w:rPr>
      <w:kern w:val="0"/>
      <w14:ligatures w14:val="none"/>
    </w:rPr>
  </w:style>
  <w:style w:type="paragraph" w:styleId="Heading1">
    <w:name w:val="heading 1"/>
    <w:basedOn w:val="Normal"/>
    <w:next w:val="Normal"/>
    <w:link w:val="Heading1Char"/>
    <w:uiPriority w:val="9"/>
    <w:qFormat/>
    <w:rsid w:val="000E4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49D"/>
    <w:rPr>
      <w:rFonts w:eastAsiaTheme="majorEastAsia" w:cstheme="majorBidi"/>
      <w:color w:val="272727" w:themeColor="text1" w:themeTint="D8"/>
    </w:rPr>
  </w:style>
  <w:style w:type="paragraph" w:styleId="Title">
    <w:name w:val="Title"/>
    <w:basedOn w:val="Normal"/>
    <w:next w:val="Normal"/>
    <w:link w:val="TitleChar"/>
    <w:uiPriority w:val="10"/>
    <w:qFormat/>
    <w:rsid w:val="000E4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49D"/>
    <w:pPr>
      <w:spacing w:before="160"/>
      <w:jc w:val="center"/>
    </w:pPr>
    <w:rPr>
      <w:i/>
      <w:iCs/>
      <w:color w:val="404040" w:themeColor="text1" w:themeTint="BF"/>
    </w:rPr>
  </w:style>
  <w:style w:type="character" w:customStyle="1" w:styleId="QuoteChar">
    <w:name w:val="Quote Char"/>
    <w:basedOn w:val="DefaultParagraphFont"/>
    <w:link w:val="Quote"/>
    <w:uiPriority w:val="29"/>
    <w:rsid w:val="000E449D"/>
    <w:rPr>
      <w:i/>
      <w:iCs/>
      <w:color w:val="404040" w:themeColor="text1" w:themeTint="BF"/>
    </w:rPr>
  </w:style>
  <w:style w:type="paragraph" w:styleId="ListParagraph">
    <w:name w:val="List Paragraph"/>
    <w:basedOn w:val="Normal"/>
    <w:uiPriority w:val="34"/>
    <w:qFormat/>
    <w:rsid w:val="000E449D"/>
    <w:pPr>
      <w:ind w:left="720"/>
      <w:contextualSpacing/>
    </w:pPr>
  </w:style>
  <w:style w:type="character" w:styleId="IntenseEmphasis">
    <w:name w:val="Intense Emphasis"/>
    <w:basedOn w:val="DefaultParagraphFont"/>
    <w:uiPriority w:val="21"/>
    <w:qFormat/>
    <w:rsid w:val="000E449D"/>
    <w:rPr>
      <w:i/>
      <w:iCs/>
      <w:color w:val="0F4761" w:themeColor="accent1" w:themeShade="BF"/>
    </w:rPr>
  </w:style>
  <w:style w:type="paragraph" w:styleId="IntenseQuote">
    <w:name w:val="Intense Quote"/>
    <w:basedOn w:val="Normal"/>
    <w:next w:val="Normal"/>
    <w:link w:val="IntenseQuoteChar"/>
    <w:uiPriority w:val="30"/>
    <w:qFormat/>
    <w:rsid w:val="000E4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49D"/>
    <w:rPr>
      <w:i/>
      <w:iCs/>
      <w:color w:val="0F4761" w:themeColor="accent1" w:themeShade="BF"/>
    </w:rPr>
  </w:style>
  <w:style w:type="character" w:styleId="IntenseReference">
    <w:name w:val="Intense Reference"/>
    <w:basedOn w:val="DefaultParagraphFont"/>
    <w:uiPriority w:val="32"/>
    <w:qFormat/>
    <w:rsid w:val="000E449D"/>
    <w:rPr>
      <w:b/>
      <w:bCs/>
      <w:smallCaps/>
      <w:color w:val="0F4761" w:themeColor="accent1" w:themeShade="BF"/>
      <w:spacing w:val="5"/>
    </w:rPr>
  </w:style>
  <w:style w:type="character" w:styleId="Hyperlink">
    <w:name w:val="Hyperlink"/>
    <w:basedOn w:val="DefaultParagraphFont"/>
    <w:uiPriority w:val="99"/>
    <w:unhideWhenUsed/>
    <w:rsid w:val="000E449D"/>
    <w:rPr>
      <w:color w:val="467886" w:themeColor="hyperlink"/>
      <w:u w:val="single"/>
    </w:rPr>
  </w:style>
  <w:style w:type="paragraph" w:customStyle="1" w:styleId="Default">
    <w:name w:val="Default"/>
    <w:rsid w:val="000E449D"/>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Strong">
    <w:name w:val="Strong"/>
    <w:basedOn w:val="DefaultParagraphFont"/>
    <w:uiPriority w:val="22"/>
    <w:qFormat/>
    <w:rsid w:val="000E449D"/>
    <w:rPr>
      <w:b/>
      <w:bCs/>
    </w:rPr>
  </w:style>
  <w:style w:type="paragraph" w:styleId="NormalWeb">
    <w:name w:val="Normal (Web)"/>
    <w:basedOn w:val="Normal"/>
    <w:uiPriority w:val="99"/>
    <w:unhideWhenUsed/>
    <w:rsid w:val="00EB66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73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E52"/>
    <w:rPr>
      <w:kern w:val="0"/>
      <w14:ligatures w14:val="none"/>
    </w:rPr>
  </w:style>
  <w:style w:type="paragraph" w:styleId="Footer">
    <w:name w:val="footer"/>
    <w:basedOn w:val="Normal"/>
    <w:link w:val="FooterChar"/>
    <w:uiPriority w:val="99"/>
    <w:unhideWhenUsed/>
    <w:rsid w:val="00473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E5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C586A.D32FDFE0" TargetMode="External"/><Relationship Id="rId13" Type="http://schemas.openxmlformats.org/officeDocument/2006/relationships/hyperlink" Target="https://www.legislation.gov.uk/asp/2003/13/section/33" TargetMode="External"/><Relationship Id="rId18" Type="http://schemas.openxmlformats.org/officeDocument/2006/relationships/hyperlink" Target="https://www.legislation.gov.uk/ukpga/Geo6/12-13-14/55/conten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legislation.gov.uk/asp/2000/4/contents" TargetMode="External"/><Relationship Id="rId17" Type="http://schemas.openxmlformats.org/officeDocument/2006/relationships/hyperlink" Target="https://www.legislation.gov.uk/ukpga/1990/43/contents" TargetMode="External"/><Relationship Id="rId2" Type="http://schemas.openxmlformats.org/officeDocument/2006/relationships/styles" Target="styles.xml"/><Relationship Id="rId16" Type="http://schemas.openxmlformats.org/officeDocument/2006/relationships/hyperlink" Target="https://www.legislation.gov.uk/asp/2004/8/conte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umatransformation.scot/" TargetMode="External"/><Relationship Id="rId5" Type="http://schemas.openxmlformats.org/officeDocument/2006/relationships/footnotes" Target="footnotes.xml"/><Relationship Id="rId15" Type="http://schemas.openxmlformats.org/officeDocument/2006/relationships/hyperlink" Target="https://www.legislation.gov.uk/asp/2006/1/contents" TargetMode="External"/><Relationship Id="rId10" Type="http://schemas.openxmlformats.org/officeDocument/2006/relationships/hyperlink" Target="https://www.gov.scot/publications/adult-support-protection-scotland-act-2007-code-practice-3/documen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outhlanarkshire.gov.uk/adultprotection/downloads/download/165/slapc_and_cpc_unseen_children_young_people_and_adult_guidance" TargetMode="External"/><Relationship Id="rId14" Type="http://schemas.openxmlformats.org/officeDocument/2006/relationships/hyperlink" Target="https://www.legislation.gov.uk/asp/2008/5/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Alison</dc:creator>
  <cp:keywords/>
  <dc:description/>
  <cp:lastModifiedBy>Burns, Alison</cp:lastModifiedBy>
  <cp:revision>2</cp:revision>
  <dcterms:created xsi:type="dcterms:W3CDTF">2026-03-24T09:58:00Z</dcterms:created>
  <dcterms:modified xsi:type="dcterms:W3CDTF">2026-03-24T09:58:00Z</dcterms:modified>
</cp:coreProperties>
</file>