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EA584" w14:textId="77777777" w:rsidR="00AF51F1" w:rsidRDefault="00AF51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sz w:val="20"/>
          <w:szCs w:val="20"/>
        </w:rPr>
      </w:pPr>
    </w:p>
    <w:p w14:paraId="5A709FD4" w14:textId="77777777" w:rsidR="00AF51F1" w:rsidRDefault="00AF51F1">
      <w:pPr>
        <w:spacing w:after="160"/>
        <w:jc w:val="center"/>
        <w:rPr>
          <w:rFonts w:cs="Arial"/>
          <w:b/>
          <w:sz w:val="40"/>
          <w:szCs w:val="40"/>
        </w:rPr>
      </w:pPr>
    </w:p>
    <w:p w14:paraId="2DB070FE" w14:textId="77777777" w:rsidR="00AF51F1" w:rsidRDefault="00AF51F1">
      <w:pPr>
        <w:spacing w:after="160"/>
        <w:jc w:val="center"/>
        <w:rPr>
          <w:rFonts w:cs="Arial"/>
          <w:b/>
          <w:sz w:val="40"/>
          <w:szCs w:val="40"/>
        </w:rPr>
      </w:pPr>
    </w:p>
    <w:p w14:paraId="64EB861B" w14:textId="77777777" w:rsidR="00AF51F1" w:rsidRDefault="00AF51F1">
      <w:pPr>
        <w:spacing w:after="160"/>
        <w:jc w:val="center"/>
        <w:rPr>
          <w:rFonts w:cs="Arial"/>
          <w:b/>
          <w:sz w:val="40"/>
          <w:szCs w:val="40"/>
        </w:rPr>
      </w:pPr>
    </w:p>
    <w:p w14:paraId="3A849EBD" w14:textId="77777777" w:rsidR="00AF51F1" w:rsidRDefault="00711D3C">
      <w:pPr>
        <w:pStyle w:val="Heading1"/>
      </w:pPr>
      <w:r>
        <w:t>LANARKSHIRE VALUATION JOINT BOARD</w:t>
      </w:r>
      <w:r>
        <w:br/>
        <w:t xml:space="preserve">ANNUAL ACCOUNTS </w:t>
      </w:r>
      <w:r>
        <w:br/>
        <w:t>2021/2022</w:t>
      </w:r>
    </w:p>
    <w:p w14:paraId="0CCA85D7" w14:textId="77777777" w:rsidR="00AF51F1" w:rsidRDefault="00AF51F1">
      <w:pPr>
        <w:pStyle w:val="09-Bodytext"/>
        <w:rPr>
          <w:shd w:val="clear" w:color="auto" w:fill="FFFF00"/>
        </w:rPr>
      </w:pPr>
    </w:p>
    <w:p w14:paraId="507D4007" w14:textId="77777777" w:rsidR="00AF51F1" w:rsidRDefault="00711D3C">
      <w:pPr>
        <w:spacing w:after="160"/>
      </w:pPr>
      <w:r>
        <w:rPr>
          <w:rFonts w:cs="Arial"/>
          <w:b/>
          <w:noProof/>
          <w:color w:val="000000"/>
          <w:sz w:val="40"/>
          <w:shd w:val="clear" w:color="auto" w:fill="FFFF00"/>
          <w:lang w:eastAsia="en-GB"/>
        </w:rPr>
        <w:drawing>
          <wp:anchor distT="0" distB="0" distL="114300" distR="114300" simplePos="0" relativeHeight="251659264" behindDoc="0" locked="0" layoutInCell="1" allowOverlap="1" wp14:anchorId="51611EEE" wp14:editId="1136E930">
            <wp:simplePos x="0" y="0"/>
            <wp:positionH relativeFrom="margin">
              <wp:align>right</wp:align>
            </wp:positionH>
            <wp:positionV relativeFrom="paragraph">
              <wp:posOffset>5558070</wp:posOffset>
            </wp:positionV>
            <wp:extent cx="3122063" cy="1836755"/>
            <wp:effectExtent l="0" t="0" r="2137" b="0"/>
            <wp:wrapTopAndBottom/>
            <wp:docPr id="1" name="Picture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Picture 31">
                      <a:extLst>
                        <a:ext uri="{C183D7F6-B498-43B3-948B-1728B52AA6E4}">
                          <adec:decorative xmlns:adec="http://schemas.microsoft.com/office/drawing/2017/decorative" val="1"/>
                        </a:ext>
                      </a:extLst>
                    </pic:cNvPr>
                    <pic:cNvPicPr/>
                  </pic:nvPicPr>
                  <pic:blipFill>
                    <a:blip r:embed="rId8"/>
                    <a:srcRect/>
                    <a:stretch>
                      <a:fillRect/>
                    </a:stretch>
                  </pic:blipFill>
                  <pic:spPr>
                    <a:xfrm>
                      <a:off x="0" y="0"/>
                      <a:ext cx="3122063" cy="1836755"/>
                    </a:xfrm>
                    <a:prstGeom prst="rect">
                      <a:avLst/>
                    </a:prstGeom>
                    <a:noFill/>
                    <a:ln>
                      <a:noFill/>
                      <a:prstDash/>
                    </a:ln>
                  </pic:spPr>
                </pic:pic>
              </a:graphicData>
            </a:graphic>
          </wp:anchor>
        </w:drawing>
      </w:r>
    </w:p>
    <w:p w14:paraId="700E2BD9" w14:textId="77777777" w:rsidR="00AF51F1" w:rsidRDefault="00711D3C">
      <w:pPr>
        <w:pStyle w:val="Heading2"/>
        <w:pageBreakBefore/>
        <w:rPr>
          <w:sz w:val="22"/>
          <w:szCs w:val="22"/>
        </w:rPr>
      </w:pPr>
      <w:bookmarkStart w:id="0" w:name="_Hlk107296015"/>
      <w:r>
        <w:rPr>
          <w:sz w:val="22"/>
          <w:szCs w:val="22"/>
        </w:rPr>
        <w:lastRenderedPageBreak/>
        <w:t>List of Contents</w:t>
      </w:r>
    </w:p>
    <w:p w14:paraId="6AB525D5" w14:textId="77777777" w:rsidR="00AF51F1" w:rsidRDefault="00AF51F1"/>
    <w:tbl>
      <w:tblPr>
        <w:tblW w:w="9493" w:type="dxa"/>
        <w:tblCellMar>
          <w:left w:w="10" w:type="dxa"/>
          <w:right w:w="10" w:type="dxa"/>
        </w:tblCellMar>
        <w:tblLook w:val="0000" w:firstRow="0" w:lastRow="0" w:firstColumn="0" w:lastColumn="0" w:noHBand="0" w:noVBand="0"/>
      </w:tblPr>
      <w:tblGrid>
        <w:gridCol w:w="8359"/>
        <w:gridCol w:w="1134"/>
      </w:tblGrid>
      <w:tr w:rsidR="00AF51F1" w14:paraId="4CB6E688" w14:textId="77777777">
        <w:tc>
          <w:tcPr>
            <w:tcW w:w="8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93BEA" w14:textId="77777777" w:rsidR="00AF51F1" w:rsidRDefault="00711D3C">
            <w:pPr>
              <w:spacing w:after="160"/>
              <w:contextualSpacing/>
            </w:pPr>
            <w:r>
              <w:rPr>
                <w:rFonts w:cs="Arial"/>
                <w:b/>
                <w:sz w:val="22"/>
                <w:szCs w:val="22"/>
              </w:rPr>
              <w:t>Statement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C4A30" w14:textId="77777777" w:rsidR="00AF51F1" w:rsidRDefault="00AF51F1">
            <w:pPr>
              <w:spacing w:after="160"/>
              <w:contextualSpacing/>
              <w:jc w:val="center"/>
              <w:rPr>
                <w:rFonts w:cs="Arial"/>
              </w:rPr>
            </w:pPr>
          </w:p>
        </w:tc>
      </w:tr>
      <w:tr w:rsidR="00AF51F1" w14:paraId="7BD023BC" w14:textId="77777777">
        <w:tc>
          <w:tcPr>
            <w:tcW w:w="8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6DA1B" w14:textId="77777777" w:rsidR="00AF51F1" w:rsidRPr="00120135" w:rsidRDefault="00711D3C">
            <w:pPr>
              <w:spacing w:after="160"/>
              <w:contextualSpacing/>
              <w:rPr>
                <w:rFonts w:cs="Arial"/>
                <w:sz w:val="22"/>
                <w:szCs w:val="22"/>
              </w:rPr>
            </w:pPr>
            <w:r w:rsidRPr="00120135">
              <w:rPr>
                <w:rFonts w:cs="Arial"/>
                <w:sz w:val="22"/>
                <w:szCs w:val="22"/>
              </w:rPr>
              <w:t>Membership of the Board (2021/2022)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A0A76" w14:textId="1FC8EF5C" w:rsidR="00AF51F1" w:rsidRPr="00120135" w:rsidRDefault="0003770A">
            <w:pPr>
              <w:spacing w:after="160"/>
              <w:contextualSpacing/>
              <w:jc w:val="center"/>
              <w:rPr>
                <w:rFonts w:cs="Arial"/>
                <w:sz w:val="22"/>
                <w:szCs w:val="22"/>
              </w:rPr>
            </w:pPr>
            <w:r>
              <w:rPr>
                <w:rFonts w:cs="Arial"/>
                <w:sz w:val="22"/>
                <w:szCs w:val="22"/>
              </w:rPr>
              <w:t>3</w:t>
            </w:r>
          </w:p>
        </w:tc>
      </w:tr>
      <w:tr w:rsidR="00AF51F1" w14:paraId="5F143639" w14:textId="77777777">
        <w:tc>
          <w:tcPr>
            <w:tcW w:w="8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7DF73" w14:textId="77777777" w:rsidR="00AF51F1" w:rsidRPr="00120135" w:rsidRDefault="00711D3C">
            <w:pPr>
              <w:spacing w:after="160"/>
              <w:contextualSpacing/>
              <w:rPr>
                <w:rFonts w:cs="Arial"/>
                <w:sz w:val="22"/>
                <w:szCs w:val="22"/>
              </w:rPr>
            </w:pPr>
            <w:r w:rsidRPr="00120135">
              <w:rPr>
                <w:rFonts w:cs="Arial"/>
                <w:sz w:val="22"/>
                <w:szCs w:val="22"/>
              </w:rPr>
              <w:t>Management Commentary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43E3C" w14:textId="0335DC28" w:rsidR="00AF51F1" w:rsidRPr="00120135" w:rsidRDefault="0003770A">
            <w:pPr>
              <w:spacing w:after="160"/>
              <w:contextualSpacing/>
              <w:jc w:val="center"/>
              <w:rPr>
                <w:rFonts w:cs="Arial"/>
                <w:sz w:val="22"/>
                <w:szCs w:val="22"/>
              </w:rPr>
            </w:pPr>
            <w:r>
              <w:rPr>
                <w:rFonts w:cs="Arial"/>
                <w:sz w:val="22"/>
                <w:szCs w:val="22"/>
              </w:rPr>
              <w:t>4</w:t>
            </w:r>
          </w:p>
        </w:tc>
      </w:tr>
      <w:tr w:rsidR="00AF51F1" w14:paraId="25469D21" w14:textId="77777777">
        <w:tc>
          <w:tcPr>
            <w:tcW w:w="8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10BEA" w14:textId="77777777" w:rsidR="00AF51F1" w:rsidRPr="00120135" w:rsidRDefault="00711D3C">
            <w:pPr>
              <w:spacing w:after="160"/>
              <w:contextualSpacing/>
              <w:rPr>
                <w:rFonts w:cs="Arial"/>
                <w:sz w:val="22"/>
                <w:szCs w:val="22"/>
              </w:rPr>
            </w:pPr>
            <w:r w:rsidRPr="00120135">
              <w:rPr>
                <w:rFonts w:cs="Arial"/>
                <w:sz w:val="22"/>
                <w:szCs w:val="22"/>
              </w:rPr>
              <w:t>Statement of Responsibilities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2D65D" w14:textId="3FDBA1C4" w:rsidR="00AF51F1" w:rsidRPr="00120135" w:rsidRDefault="0003770A">
            <w:pPr>
              <w:spacing w:after="160"/>
              <w:contextualSpacing/>
              <w:jc w:val="center"/>
              <w:rPr>
                <w:rFonts w:cs="Arial"/>
                <w:sz w:val="22"/>
                <w:szCs w:val="22"/>
              </w:rPr>
            </w:pPr>
            <w:r>
              <w:rPr>
                <w:rFonts w:cs="Arial"/>
                <w:sz w:val="22"/>
                <w:szCs w:val="22"/>
              </w:rPr>
              <w:t>10</w:t>
            </w:r>
          </w:p>
        </w:tc>
      </w:tr>
      <w:tr w:rsidR="00AF51F1" w14:paraId="027D9FB4" w14:textId="77777777">
        <w:tc>
          <w:tcPr>
            <w:tcW w:w="8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6D1D5" w14:textId="77777777" w:rsidR="00AF51F1" w:rsidRPr="00120135" w:rsidRDefault="00711D3C">
            <w:pPr>
              <w:spacing w:after="160"/>
              <w:contextualSpacing/>
              <w:rPr>
                <w:rFonts w:cs="Arial"/>
                <w:sz w:val="22"/>
                <w:szCs w:val="22"/>
              </w:rPr>
            </w:pPr>
            <w:r w:rsidRPr="00120135">
              <w:rPr>
                <w:rFonts w:cs="Arial"/>
                <w:sz w:val="22"/>
                <w:szCs w:val="22"/>
              </w:rPr>
              <w:t>Annual Governance Statement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C9FDD" w14:textId="276B872F" w:rsidR="00AF51F1" w:rsidRPr="00120135" w:rsidRDefault="00711D3C">
            <w:pPr>
              <w:spacing w:after="160"/>
              <w:contextualSpacing/>
              <w:jc w:val="center"/>
              <w:rPr>
                <w:rFonts w:cs="Arial"/>
                <w:sz w:val="22"/>
                <w:szCs w:val="22"/>
              </w:rPr>
            </w:pPr>
            <w:r w:rsidRPr="00120135">
              <w:rPr>
                <w:rFonts w:cs="Arial"/>
                <w:sz w:val="22"/>
                <w:szCs w:val="22"/>
              </w:rPr>
              <w:t>1</w:t>
            </w:r>
            <w:r w:rsidR="0003770A">
              <w:rPr>
                <w:rFonts w:cs="Arial"/>
                <w:sz w:val="22"/>
                <w:szCs w:val="22"/>
              </w:rPr>
              <w:t>2</w:t>
            </w:r>
          </w:p>
        </w:tc>
      </w:tr>
      <w:tr w:rsidR="00AF51F1" w14:paraId="21185005" w14:textId="77777777">
        <w:tc>
          <w:tcPr>
            <w:tcW w:w="8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47BA2" w14:textId="77777777" w:rsidR="00AF51F1" w:rsidRPr="00120135" w:rsidRDefault="00711D3C">
            <w:pPr>
              <w:spacing w:after="160"/>
              <w:contextualSpacing/>
              <w:rPr>
                <w:rFonts w:cs="Arial"/>
                <w:sz w:val="22"/>
                <w:szCs w:val="22"/>
              </w:rPr>
            </w:pPr>
            <w:r w:rsidRPr="00120135">
              <w:rPr>
                <w:rFonts w:cs="Arial"/>
                <w:sz w:val="22"/>
                <w:szCs w:val="22"/>
              </w:rPr>
              <w:t>Remuneration Report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7B505" w14:textId="741A7886" w:rsidR="00AF51F1" w:rsidRPr="00120135" w:rsidRDefault="00711D3C">
            <w:pPr>
              <w:spacing w:after="160"/>
              <w:contextualSpacing/>
              <w:jc w:val="center"/>
              <w:rPr>
                <w:rFonts w:cs="Arial"/>
                <w:sz w:val="22"/>
                <w:szCs w:val="22"/>
              </w:rPr>
            </w:pPr>
            <w:r w:rsidRPr="00120135">
              <w:rPr>
                <w:rFonts w:cs="Arial"/>
                <w:sz w:val="22"/>
                <w:szCs w:val="22"/>
              </w:rPr>
              <w:t>1</w:t>
            </w:r>
            <w:r w:rsidR="0003770A">
              <w:rPr>
                <w:rFonts w:cs="Arial"/>
                <w:sz w:val="22"/>
                <w:szCs w:val="22"/>
              </w:rPr>
              <w:t>5</w:t>
            </w:r>
          </w:p>
        </w:tc>
      </w:tr>
      <w:tr w:rsidR="00AF51F1" w14:paraId="469DC417" w14:textId="77777777">
        <w:tc>
          <w:tcPr>
            <w:tcW w:w="8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28311" w14:textId="77777777" w:rsidR="00AF51F1" w:rsidRPr="00120135" w:rsidRDefault="00711D3C">
            <w:pPr>
              <w:spacing w:after="160"/>
              <w:contextualSpacing/>
              <w:rPr>
                <w:rFonts w:cs="Arial"/>
                <w:sz w:val="22"/>
                <w:szCs w:val="22"/>
              </w:rPr>
            </w:pPr>
            <w:r w:rsidRPr="00120135">
              <w:rPr>
                <w:rFonts w:cs="Arial"/>
                <w:sz w:val="22"/>
                <w:szCs w:val="22"/>
              </w:rPr>
              <w:t>Expenditure and Funding Analysis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B064F" w14:textId="1B9B9297" w:rsidR="00AF51F1" w:rsidRPr="00120135" w:rsidRDefault="0003770A">
            <w:pPr>
              <w:spacing w:after="160"/>
              <w:contextualSpacing/>
              <w:jc w:val="center"/>
              <w:rPr>
                <w:rFonts w:cs="Arial"/>
                <w:sz w:val="22"/>
                <w:szCs w:val="22"/>
              </w:rPr>
            </w:pPr>
            <w:r>
              <w:rPr>
                <w:rFonts w:cs="Arial"/>
                <w:sz w:val="22"/>
                <w:szCs w:val="22"/>
              </w:rPr>
              <w:t>20</w:t>
            </w:r>
          </w:p>
        </w:tc>
      </w:tr>
      <w:tr w:rsidR="00AF51F1" w14:paraId="64A1CCB8" w14:textId="77777777">
        <w:tc>
          <w:tcPr>
            <w:tcW w:w="8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87375" w14:textId="77777777" w:rsidR="00AF51F1" w:rsidRPr="00120135" w:rsidRDefault="00711D3C">
            <w:pPr>
              <w:spacing w:after="160"/>
              <w:contextualSpacing/>
              <w:rPr>
                <w:rFonts w:cs="Arial"/>
                <w:sz w:val="22"/>
                <w:szCs w:val="22"/>
              </w:rPr>
            </w:pPr>
            <w:r w:rsidRPr="00120135">
              <w:rPr>
                <w:rFonts w:cs="Arial"/>
                <w:sz w:val="22"/>
                <w:szCs w:val="22"/>
              </w:rPr>
              <w:t>Comprehensive Income and Expenditure Statement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225D3" w14:textId="2C060CAA" w:rsidR="00AF51F1" w:rsidRPr="00120135" w:rsidRDefault="00711D3C">
            <w:pPr>
              <w:spacing w:after="160"/>
              <w:contextualSpacing/>
              <w:jc w:val="center"/>
              <w:rPr>
                <w:rFonts w:cs="Arial"/>
                <w:sz w:val="22"/>
                <w:szCs w:val="22"/>
              </w:rPr>
            </w:pPr>
            <w:r w:rsidRPr="00120135">
              <w:rPr>
                <w:rFonts w:cs="Arial"/>
                <w:sz w:val="22"/>
                <w:szCs w:val="22"/>
              </w:rPr>
              <w:t>2</w:t>
            </w:r>
            <w:r w:rsidR="0003770A">
              <w:rPr>
                <w:rFonts w:cs="Arial"/>
                <w:sz w:val="22"/>
                <w:szCs w:val="22"/>
              </w:rPr>
              <w:t>1</w:t>
            </w:r>
          </w:p>
        </w:tc>
      </w:tr>
      <w:tr w:rsidR="00AF51F1" w14:paraId="35DAB96A" w14:textId="77777777">
        <w:tc>
          <w:tcPr>
            <w:tcW w:w="8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78A1C" w14:textId="77777777" w:rsidR="00AF51F1" w:rsidRPr="00120135" w:rsidRDefault="00711D3C">
            <w:pPr>
              <w:spacing w:after="160"/>
              <w:contextualSpacing/>
              <w:rPr>
                <w:rFonts w:cs="Arial"/>
                <w:sz w:val="22"/>
                <w:szCs w:val="22"/>
              </w:rPr>
            </w:pPr>
            <w:r w:rsidRPr="00120135">
              <w:rPr>
                <w:rFonts w:cs="Arial"/>
                <w:sz w:val="22"/>
                <w:szCs w:val="22"/>
              </w:rPr>
              <w:t>Balance Sheet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A1C41" w14:textId="20BE97A2" w:rsidR="00AF51F1" w:rsidRPr="00120135" w:rsidRDefault="00711D3C">
            <w:pPr>
              <w:spacing w:after="160"/>
              <w:contextualSpacing/>
              <w:jc w:val="center"/>
              <w:rPr>
                <w:rFonts w:cs="Arial"/>
                <w:sz w:val="22"/>
                <w:szCs w:val="22"/>
              </w:rPr>
            </w:pPr>
            <w:r w:rsidRPr="00120135">
              <w:rPr>
                <w:rFonts w:cs="Arial"/>
                <w:sz w:val="22"/>
                <w:szCs w:val="22"/>
              </w:rPr>
              <w:t>2</w:t>
            </w:r>
            <w:r w:rsidR="0003770A">
              <w:rPr>
                <w:rFonts w:cs="Arial"/>
                <w:sz w:val="22"/>
                <w:szCs w:val="22"/>
              </w:rPr>
              <w:t>2</w:t>
            </w:r>
          </w:p>
        </w:tc>
      </w:tr>
      <w:tr w:rsidR="00AF51F1" w14:paraId="1ACFB1B3" w14:textId="77777777">
        <w:tc>
          <w:tcPr>
            <w:tcW w:w="8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7DC25" w14:textId="77777777" w:rsidR="00AF51F1" w:rsidRPr="00120135" w:rsidRDefault="00711D3C">
            <w:pPr>
              <w:spacing w:after="160"/>
              <w:contextualSpacing/>
              <w:rPr>
                <w:rFonts w:cs="Arial"/>
                <w:sz w:val="22"/>
                <w:szCs w:val="22"/>
              </w:rPr>
            </w:pPr>
            <w:r w:rsidRPr="00120135">
              <w:rPr>
                <w:rFonts w:cs="Arial"/>
                <w:sz w:val="22"/>
                <w:szCs w:val="22"/>
              </w:rPr>
              <w:t>Movement in Reserves Statement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53999" w14:textId="08F786DD" w:rsidR="00AF51F1" w:rsidRPr="00120135" w:rsidRDefault="00711D3C">
            <w:pPr>
              <w:spacing w:after="160"/>
              <w:contextualSpacing/>
              <w:jc w:val="center"/>
              <w:rPr>
                <w:rFonts w:cs="Arial"/>
                <w:sz w:val="22"/>
                <w:szCs w:val="22"/>
              </w:rPr>
            </w:pPr>
            <w:r w:rsidRPr="00120135">
              <w:rPr>
                <w:rFonts w:cs="Arial"/>
                <w:sz w:val="22"/>
                <w:szCs w:val="22"/>
              </w:rPr>
              <w:t>2</w:t>
            </w:r>
            <w:r w:rsidR="0003770A">
              <w:rPr>
                <w:rFonts w:cs="Arial"/>
                <w:sz w:val="22"/>
                <w:szCs w:val="22"/>
              </w:rPr>
              <w:t>3</w:t>
            </w:r>
          </w:p>
        </w:tc>
      </w:tr>
      <w:tr w:rsidR="00AF51F1" w14:paraId="17F29DA9" w14:textId="77777777">
        <w:tc>
          <w:tcPr>
            <w:tcW w:w="8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0D11B" w14:textId="77777777" w:rsidR="00AF51F1" w:rsidRPr="00120135" w:rsidRDefault="00711D3C">
            <w:pPr>
              <w:spacing w:after="160"/>
              <w:contextualSpacing/>
              <w:rPr>
                <w:rFonts w:cs="Arial"/>
                <w:sz w:val="22"/>
                <w:szCs w:val="22"/>
              </w:rPr>
            </w:pPr>
            <w:r w:rsidRPr="00120135">
              <w:rPr>
                <w:rFonts w:cs="Arial"/>
                <w:sz w:val="22"/>
                <w:szCs w:val="22"/>
              </w:rPr>
              <w:t>Cash Flow Statement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2D1AC" w14:textId="0A6BA9E5" w:rsidR="00AF51F1" w:rsidRPr="00120135" w:rsidRDefault="00711D3C">
            <w:pPr>
              <w:spacing w:after="160"/>
              <w:contextualSpacing/>
              <w:jc w:val="center"/>
              <w:rPr>
                <w:rFonts w:cs="Arial"/>
                <w:sz w:val="22"/>
                <w:szCs w:val="22"/>
              </w:rPr>
            </w:pPr>
            <w:r w:rsidRPr="00120135">
              <w:rPr>
                <w:rFonts w:cs="Arial"/>
                <w:sz w:val="22"/>
                <w:szCs w:val="22"/>
              </w:rPr>
              <w:t>2</w:t>
            </w:r>
            <w:r w:rsidR="0003770A">
              <w:rPr>
                <w:rFonts w:cs="Arial"/>
                <w:sz w:val="22"/>
                <w:szCs w:val="22"/>
              </w:rPr>
              <w:t>5</w:t>
            </w:r>
          </w:p>
        </w:tc>
      </w:tr>
      <w:tr w:rsidR="00AF51F1" w14:paraId="7AB8226C" w14:textId="77777777">
        <w:tc>
          <w:tcPr>
            <w:tcW w:w="8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71EA1" w14:textId="77777777" w:rsidR="00AF51F1" w:rsidRPr="00120135" w:rsidRDefault="00AF51F1">
            <w:pPr>
              <w:spacing w:after="160"/>
              <w:contextualSpacing/>
              <w:rPr>
                <w:rFonts w:cs="Arial"/>
                <w:b/>
                <w:bCs/>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EF635" w14:textId="77777777" w:rsidR="00AF51F1" w:rsidRPr="00120135" w:rsidRDefault="00AF51F1">
            <w:pPr>
              <w:spacing w:after="160"/>
              <w:contextualSpacing/>
              <w:jc w:val="center"/>
              <w:rPr>
                <w:rFonts w:cs="Arial"/>
                <w:sz w:val="22"/>
                <w:szCs w:val="22"/>
              </w:rPr>
            </w:pPr>
          </w:p>
        </w:tc>
      </w:tr>
      <w:tr w:rsidR="00AF51F1" w14:paraId="7523C6E4" w14:textId="77777777">
        <w:tc>
          <w:tcPr>
            <w:tcW w:w="8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D7AE8" w14:textId="77777777" w:rsidR="00AF51F1" w:rsidRPr="00120135" w:rsidRDefault="00711D3C">
            <w:pPr>
              <w:spacing w:after="160"/>
              <w:contextualSpacing/>
              <w:rPr>
                <w:rFonts w:cs="Arial"/>
                <w:sz w:val="22"/>
                <w:szCs w:val="22"/>
              </w:rPr>
            </w:pPr>
            <w:r w:rsidRPr="00120135">
              <w:rPr>
                <w:rFonts w:cs="Arial"/>
                <w:b/>
                <w:bCs/>
                <w:sz w:val="22"/>
                <w:szCs w:val="22"/>
              </w:rPr>
              <w:t>Notes to the Financial Statements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0B885" w14:textId="77777777" w:rsidR="00AF51F1" w:rsidRPr="00120135" w:rsidRDefault="00AF51F1">
            <w:pPr>
              <w:spacing w:after="160"/>
              <w:contextualSpacing/>
              <w:jc w:val="center"/>
              <w:rPr>
                <w:rFonts w:cs="Arial"/>
                <w:sz w:val="22"/>
                <w:szCs w:val="22"/>
              </w:rPr>
            </w:pPr>
          </w:p>
        </w:tc>
      </w:tr>
      <w:tr w:rsidR="00AF51F1" w14:paraId="7F177527" w14:textId="77777777">
        <w:tc>
          <w:tcPr>
            <w:tcW w:w="8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920D57" w14:textId="77777777" w:rsidR="00AF51F1" w:rsidRPr="00120135" w:rsidRDefault="00711D3C">
            <w:pPr>
              <w:spacing w:after="160"/>
              <w:contextualSpacing/>
              <w:rPr>
                <w:rFonts w:cs="Arial"/>
                <w:sz w:val="22"/>
                <w:szCs w:val="22"/>
              </w:rPr>
            </w:pPr>
            <w:r w:rsidRPr="00120135">
              <w:rPr>
                <w:rFonts w:cs="Arial"/>
                <w:sz w:val="22"/>
                <w:szCs w:val="22"/>
              </w:rPr>
              <w:t>Note 1 - Accounting Policies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6ADD5" w14:textId="3702D816" w:rsidR="00AF51F1" w:rsidRPr="00120135" w:rsidRDefault="00711D3C">
            <w:pPr>
              <w:spacing w:after="160"/>
              <w:contextualSpacing/>
              <w:jc w:val="center"/>
              <w:rPr>
                <w:rFonts w:cs="Arial"/>
                <w:sz w:val="22"/>
                <w:szCs w:val="22"/>
              </w:rPr>
            </w:pPr>
            <w:r w:rsidRPr="00120135">
              <w:rPr>
                <w:rFonts w:cs="Arial"/>
                <w:sz w:val="22"/>
                <w:szCs w:val="22"/>
              </w:rPr>
              <w:t>2</w:t>
            </w:r>
            <w:r w:rsidR="0003770A">
              <w:rPr>
                <w:rFonts w:cs="Arial"/>
                <w:sz w:val="22"/>
                <w:szCs w:val="22"/>
              </w:rPr>
              <w:t>7</w:t>
            </w:r>
          </w:p>
        </w:tc>
      </w:tr>
      <w:tr w:rsidR="00AF51F1" w14:paraId="3E112352" w14:textId="77777777">
        <w:tc>
          <w:tcPr>
            <w:tcW w:w="8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662E3" w14:textId="77777777" w:rsidR="00AF51F1" w:rsidRPr="00120135" w:rsidRDefault="00711D3C">
            <w:pPr>
              <w:spacing w:after="160"/>
              <w:contextualSpacing/>
              <w:rPr>
                <w:rFonts w:cs="Arial"/>
                <w:sz w:val="22"/>
                <w:szCs w:val="22"/>
              </w:rPr>
            </w:pPr>
            <w:r w:rsidRPr="00120135">
              <w:rPr>
                <w:rFonts w:cs="Arial"/>
                <w:sz w:val="22"/>
                <w:szCs w:val="22"/>
              </w:rPr>
              <w:t>Note 2 - Prior Period Adjustments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C72E9" w14:textId="4897C1EA" w:rsidR="00AF51F1" w:rsidRPr="00120135" w:rsidRDefault="00711D3C">
            <w:pPr>
              <w:spacing w:after="160"/>
              <w:contextualSpacing/>
              <w:jc w:val="center"/>
              <w:rPr>
                <w:rFonts w:cs="Arial"/>
                <w:sz w:val="22"/>
                <w:szCs w:val="22"/>
              </w:rPr>
            </w:pPr>
            <w:r w:rsidRPr="00120135">
              <w:rPr>
                <w:rFonts w:cs="Arial"/>
                <w:sz w:val="22"/>
                <w:szCs w:val="22"/>
              </w:rPr>
              <w:t>2</w:t>
            </w:r>
            <w:r w:rsidR="0003770A">
              <w:rPr>
                <w:rFonts w:cs="Arial"/>
                <w:sz w:val="22"/>
                <w:szCs w:val="22"/>
              </w:rPr>
              <w:t>9</w:t>
            </w:r>
          </w:p>
        </w:tc>
      </w:tr>
      <w:tr w:rsidR="00AF51F1" w14:paraId="2D9D55D0" w14:textId="77777777">
        <w:tc>
          <w:tcPr>
            <w:tcW w:w="8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4CFFD" w14:textId="77777777" w:rsidR="00AF51F1" w:rsidRPr="00120135" w:rsidRDefault="00711D3C">
            <w:pPr>
              <w:spacing w:after="160"/>
              <w:contextualSpacing/>
              <w:rPr>
                <w:rFonts w:cs="Arial"/>
                <w:sz w:val="22"/>
                <w:szCs w:val="22"/>
              </w:rPr>
            </w:pPr>
            <w:r w:rsidRPr="00120135">
              <w:rPr>
                <w:rFonts w:cs="Arial"/>
                <w:sz w:val="22"/>
                <w:szCs w:val="22"/>
              </w:rPr>
              <w:t>Note 3 - Accounting Standards issued but not Adopted</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BF687" w14:textId="1D5FD641" w:rsidR="00AF51F1" w:rsidRPr="00120135" w:rsidRDefault="00711D3C">
            <w:pPr>
              <w:spacing w:after="160"/>
              <w:contextualSpacing/>
              <w:jc w:val="center"/>
              <w:rPr>
                <w:rFonts w:cs="Arial"/>
                <w:sz w:val="22"/>
                <w:szCs w:val="22"/>
              </w:rPr>
            </w:pPr>
            <w:r w:rsidRPr="00120135">
              <w:rPr>
                <w:rFonts w:cs="Arial"/>
                <w:sz w:val="22"/>
                <w:szCs w:val="22"/>
              </w:rPr>
              <w:t>2</w:t>
            </w:r>
            <w:r w:rsidR="0003770A">
              <w:rPr>
                <w:rFonts w:cs="Arial"/>
                <w:sz w:val="22"/>
                <w:szCs w:val="22"/>
              </w:rPr>
              <w:t>9</w:t>
            </w:r>
          </w:p>
        </w:tc>
      </w:tr>
      <w:tr w:rsidR="00AF51F1" w14:paraId="049D7B58" w14:textId="77777777">
        <w:tc>
          <w:tcPr>
            <w:tcW w:w="8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1CBF5" w14:textId="77777777" w:rsidR="00AF51F1" w:rsidRPr="00120135" w:rsidRDefault="00711D3C">
            <w:pPr>
              <w:spacing w:after="160"/>
              <w:contextualSpacing/>
              <w:rPr>
                <w:rFonts w:cs="Arial"/>
                <w:sz w:val="22"/>
                <w:szCs w:val="22"/>
              </w:rPr>
            </w:pPr>
            <w:r w:rsidRPr="00120135">
              <w:rPr>
                <w:rFonts w:cs="Arial"/>
                <w:sz w:val="22"/>
                <w:szCs w:val="22"/>
              </w:rPr>
              <w:t>Note 4 - Critical Judgements in Applying Accounting Policies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A1CBD" w14:textId="208A486C" w:rsidR="00AF51F1" w:rsidRPr="00120135" w:rsidRDefault="0003770A">
            <w:pPr>
              <w:spacing w:after="160"/>
              <w:contextualSpacing/>
              <w:jc w:val="center"/>
              <w:rPr>
                <w:rFonts w:cs="Arial"/>
                <w:sz w:val="22"/>
                <w:szCs w:val="22"/>
              </w:rPr>
            </w:pPr>
            <w:r>
              <w:rPr>
                <w:rFonts w:cs="Arial"/>
                <w:sz w:val="22"/>
                <w:szCs w:val="22"/>
              </w:rPr>
              <w:t>30</w:t>
            </w:r>
          </w:p>
        </w:tc>
      </w:tr>
      <w:tr w:rsidR="00AF51F1" w14:paraId="4981A463" w14:textId="77777777">
        <w:tc>
          <w:tcPr>
            <w:tcW w:w="8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19C09" w14:textId="77777777" w:rsidR="00AF51F1" w:rsidRPr="00120135" w:rsidRDefault="00711D3C">
            <w:pPr>
              <w:ind w:left="881" w:hanging="881"/>
              <w:rPr>
                <w:rFonts w:cs="Arial"/>
                <w:sz w:val="22"/>
                <w:szCs w:val="22"/>
              </w:rPr>
            </w:pPr>
            <w:r w:rsidRPr="00120135">
              <w:rPr>
                <w:rFonts w:cs="Arial"/>
                <w:sz w:val="22"/>
                <w:szCs w:val="22"/>
              </w:rPr>
              <w:t>Note 5 - Notes to the Expenditure and Funding Analysis - Adjustments Between Funding and Accounting Basis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BE087" w14:textId="23C93B13" w:rsidR="00AF51F1" w:rsidRPr="00120135" w:rsidRDefault="0003770A">
            <w:pPr>
              <w:jc w:val="center"/>
              <w:rPr>
                <w:rFonts w:cs="Arial"/>
                <w:sz w:val="22"/>
                <w:szCs w:val="22"/>
              </w:rPr>
            </w:pPr>
            <w:r>
              <w:rPr>
                <w:rFonts w:cs="Arial"/>
                <w:sz w:val="22"/>
                <w:szCs w:val="22"/>
              </w:rPr>
              <w:t>30</w:t>
            </w:r>
          </w:p>
        </w:tc>
      </w:tr>
      <w:tr w:rsidR="00AF51F1" w14:paraId="70901E75" w14:textId="77777777">
        <w:tc>
          <w:tcPr>
            <w:tcW w:w="8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C41DC" w14:textId="77777777" w:rsidR="00AF51F1" w:rsidRPr="00120135" w:rsidRDefault="00711D3C">
            <w:pPr>
              <w:spacing w:after="160"/>
              <w:ind w:left="881" w:hanging="881"/>
              <w:contextualSpacing/>
              <w:rPr>
                <w:rFonts w:cs="Arial"/>
                <w:sz w:val="22"/>
                <w:szCs w:val="22"/>
              </w:rPr>
            </w:pPr>
            <w:r w:rsidRPr="00120135">
              <w:rPr>
                <w:rFonts w:cs="Arial"/>
                <w:sz w:val="22"/>
                <w:szCs w:val="22"/>
              </w:rPr>
              <w:t>Note 6 - Adjustments between Accounting Basis and Funding Basis Under Regulations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74ADE" w14:textId="6F50B04D" w:rsidR="00AF51F1" w:rsidRPr="00120135" w:rsidRDefault="00711D3C">
            <w:pPr>
              <w:spacing w:after="160"/>
              <w:contextualSpacing/>
              <w:jc w:val="center"/>
              <w:rPr>
                <w:rFonts w:cs="Arial"/>
                <w:sz w:val="22"/>
                <w:szCs w:val="22"/>
              </w:rPr>
            </w:pPr>
            <w:r w:rsidRPr="00120135">
              <w:rPr>
                <w:rFonts w:cs="Arial"/>
                <w:sz w:val="22"/>
                <w:szCs w:val="22"/>
              </w:rPr>
              <w:t>3</w:t>
            </w:r>
            <w:r w:rsidR="0003770A">
              <w:rPr>
                <w:rFonts w:cs="Arial"/>
                <w:sz w:val="22"/>
                <w:szCs w:val="22"/>
              </w:rPr>
              <w:t>1</w:t>
            </w:r>
          </w:p>
        </w:tc>
      </w:tr>
      <w:tr w:rsidR="00AF51F1" w14:paraId="73A8F6E3" w14:textId="77777777">
        <w:tc>
          <w:tcPr>
            <w:tcW w:w="8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D595A" w14:textId="433BA217" w:rsidR="00AF51F1" w:rsidRPr="00120135" w:rsidRDefault="00711D3C">
            <w:pPr>
              <w:spacing w:after="160"/>
              <w:ind w:left="881" w:hanging="881"/>
              <w:contextualSpacing/>
              <w:rPr>
                <w:rFonts w:cs="Arial"/>
                <w:sz w:val="22"/>
                <w:szCs w:val="22"/>
              </w:rPr>
            </w:pPr>
            <w:r w:rsidRPr="00120135">
              <w:rPr>
                <w:rFonts w:cs="Arial"/>
                <w:sz w:val="22"/>
                <w:szCs w:val="22"/>
              </w:rPr>
              <w:t>Note 7 - Assumptions Made About the Future and Other Major Sources of Estimation Uncertainty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9AC6F" w14:textId="5E25F4B7" w:rsidR="00AF51F1" w:rsidRPr="00120135" w:rsidRDefault="00711D3C">
            <w:pPr>
              <w:spacing w:after="160"/>
              <w:contextualSpacing/>
              <w:jc w:val="center"/>
              <w:rPr>
                <w:rFonts w:cs="Arial"/>
                <w:sz w:val="22"/>
                <w:szCs w:val="22"/>
              </w:rPr>
            </w:pPr>
            <w:r w:rsidRPr="00120135">
              <w:rPr>
                <w:rFonts w:cs="Arial"/>
                <w:sz w:val="22"/>
                <w:szCs w:val="22"/>
              </w:rPr>
              <w:t>3</w:t>
            </w:r>
            <w:r w:rsidR="0003770A">
              <w:rPr>
                <w:rFonts w:cs="Arial"/>
                <w:sz w:val="22"/>
                <w:szCs w:val="22"/>
              </w:rPr>
              <w:t>2</w:t>
            </w:r>
          </w:p>
        </w:tc>
      </w:tr>
      <w:tr w:rsidR="00AF51F1" w14:paraId="64EA70D8" w14:textId="77777777">
        <w:tc>
          <w:tcPr>
            <w:tcW w:w="8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45721" w14:textId="77777777" w:rsidR="00AF51F1" w:rsidRPr="00120135" w:rsidRDefault="00711D3C">
            <w:pPr>
              <w:spacing w:after="160"/>
              <w:contextualSpacing/>
              <w:rPr>
                <w:rFonts w:cs="Arial"/>
                <w:sz w:val="22"/>
                <w:szCs w:val="22"/>
              </w:rPr>
            </w:pPr>
            <w:r w:rsidRPr="00120135">
              <w:rPr>
                <w:rFonts w:cs="Arial"/>
                <w:sz w:val="22"/>
                <w:szCs w:val="22"/>
              </w:rPr>
              <w:t>Note 8 - Events after the Balance Sheet date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F5FCA" w14:textId="73BB132B" w:rsidR="00AF51F1" w:rsidRPr="00120135" w:rsidRDefault="00711D3C">
            <w:pPr>
              <w:spacing w:after="160"/>
              <w:contextualSpacing/>
              <w:jc w:val="center"/>
              <w:rPr>
                <w:rFonts w:cs="Arial"/>
                <w:sz w:val="22"/>
                <w:szCs w:val="22"/>
              </w:rPr>
            </w:pPr>
            <w:r w:rsidRPr="00120135">
              <w:rPr>
                <w:rFonts w:cs="Arial"/>
                <w:sz w:val="22"/>
                <w:szCs w:val="22"/>
              </w:rPr>
              <w:t>3</w:t>
            </w:r>
            <w:r w:rsidR="0003770A">
              <w:rPr>
                <w:rFonts w:cs="Arial"/>
                <w:sz w:val="22"/>
                <w:szCs w:val="22"/>
              </w:rPr>
              <w:t>3</w:t>
            </w:r>
          </w:p>
        </w:tc>
      </w:tr>
      <w:tr w:rsidR="00AF51F1" w14:paraId="01077918" w14:textId="77777777">
        <w:tc>
          <w:tcPr>
            <w:tcW w:w="8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7EB9C" w14:textId="77777777" w:rsidR="00AF51F1" w:rsidRPr="00120135" w:rsidRDefault="00711D3C">
            <w:pPr>
              <w:spacing w:after="160"/>
              <w:contextualSpacing/>
              <w:rPr>
                <w:rFonts w:cs="Arial"/>
                <w:sz w:val="22"/>
                <w:szCs w:val="22"/>
              </w:rPr>
            </w:pPr>
            <w:r w:rsidRPr="00120135">
              <w:rPr>
                <w:rFonts w:cs="Arial"/>
                <w:sz w:val="22"/>
                <w:szCs w:val="22"/>
              </w:rPr>
              <w:t>Note 9 - Contingent Liabilities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66AAF" w14:textId="7B223173" w:rsidR="00AF51F1" w:rsidRPr="00120135" w:rsidRDefault="00711D3C">
            <w:pPr>
              <w:spacing w:after="160"/>
              <w:contextualSpacing/>
              <w:jc w:val="center"/>
              <w:rPr>
                <w:rFonts w:cs="Arial"/>
                <w:sz w:val="22"/>
                <w:szCs w:val="22"/>
              </w:rPr>
            </w:pPr>
            <w:r w:rsidRPr="00120135">
              <w:rPr>
                <w:rFonts w:cs="Arial"/>
                <w:sz w:val="22"/>
                <w:szCs w:val="22"/>
              </w:rPr>
              <w:t>3</w:t>
            </w:r>
            <w:r w:rsidR="0003770A">
              <w:rPr>
                <w:rFonts w:cs="Arial"/>
                <w:sz w:val="22"/>
                <w:szCs w:val="22"/>
              </w:rPr>
              <w:t>3</w:t>
            </w:r>
          </w:p>
        </w:tc>
      </w:tr>
      <w:tr w:rsidR="00AF51F1" w14:paraId="07BD9588" w14:textId="77777777">
        <w:tc>
          <w:tcPr>
            <w:tcW w:w="8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D4611" w14:textId="77777777" w:rsidR="00AF51F1" w:rsidRPr="00120135" w:rsidRDefault="00711D3C">
            <w:pPr>
              <w:spacing w:after="160"/>
              <w:contextualSpacing/>
              <w:rPr>
                <w:rFonts w:cs="Arial"/>
                <w:sz w:val="22"/>
                <w:szCs w:val="22"/>
              </w:rPr>
            </w:pPr>
            <w:r w:rsidRPr="00120135">
              <w:rPr>
                <w:rFonts w:cs="Arial"/>
                <w:sz w:val="22"/>
                <w:szCs w:val="22"/>
              </w:rPr>
              <w:t xml:space="preserve">Note 10 - Leases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5C46E" w14:textId="6B2F2B5D" w:rsidR="00AF51F1" w:rsidRPr="00120135" w:rsidRDefault="00711D3C">
            <w:pPr>
              <w:spacing w:after="160"/>
              <w:contextualSpacing/>
              <w:jc w:val="center"/>
              <w:rPr>
                <w:rFonts w:cs="Arial"/>
                <w:sz w:val="22"/>
                <w:szCs w:val="22"/>
              </w:rPr>
            </w:pPr>
            <w:r w:rsidRPr="00120135">
              <w:rPr>
                <w:rFonts w:cs="Arial"/>
                <w:sz w:val="22"/>
                <w:szCs w:val="22"/>
              </w:rPr>
              <w:t>3</w:t>
            </w:r>
            <w:r w:rsidR="0003770A">
              <w:rPr>
                <w:rFonts w:cs="Arial"/>
                <w:sz w:val="22"/>
                <w:szCs w:val="22"/>
              </w:rPr>
              <w:t>3</w:t>
            </w:r>
          </w:p>
        </w:tc>
      </w:tr>
      <w:tr w:rsidR="00AF51F1" w14:paraId="3BCA5148" w14:textId="77777777">
        <w:tc>
          <w:tcPr>
            <w:tcW w:w="8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E2AF2" w14:textId="77777777" w:rsidR="00AF51F1" w:rsidRPr="00120135" w:rsidRDefault="00711D3C">
            <w:pPr>
              <w:spacing w:after="160"/>
              <w:contextualSpacing/>
              <w:rPr>
                <w:rFonts w:cs="Arial"/>
                <w:sz w:val="22"/>
                <w:szCs w:val="22"/>
              </w:rPr>
            </w:pPr>
            <w:r w:rsidRPr="00120135">
              <w:rPr>
                <w:rFonts w:cs="Arial"/>
                <w:sz w:val="22"/>
                <w:szCs w:val="22"/>
              </w:rPr>
              <w:t xml:space="preserve">Note 11 - Property, Plant and Equipment – Movement on Balances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243A8" w14:textId="7E4F6A5A" w:rsidR="00AF51F1" w:rsidRPr="00120135" w:rsidRDefault="00711D3C">
            <w:pPr>
              <w:spacing w:after="160"/>
              <w:contextualSpacing/>
              <w:jc w:val="center"/>
              <w:rPr>
                <w:rFonts w:cs="Arial"/>
                <w:sz w:val="22"/>
                <w:szCs w:val="22"/>
              </w:rPr>
            </w:pPr>
            <w:r w:rsidRPr="00120135">
              <w:rPr>
                <w:rFonts w:cs="Arial"/>
                <w:sz w:val="22"/>
                <w:szCs w:val="22"/>
              </w:rPr>
              <w:t>3</w:t>
            </w:r>
            <w:r w:rsidR="0003770A">
              <w:rPr>
                <w:rFonts w:cs="Arial"/>
                <w:sz w:val="22"/>
                <w:szCs w:val="22"/>
              </w:rPr>
              <w:t>4</w:t>
            </w:r>
          </w:p>
        </w:tc>
      </w:tr>
      <w:tr w:rsidR="00AF51F1" w14:paraId="432FA6E4" w14:textId="77777777">
        <w:tc>
          <w:tcPr>
            <w:tcW w:w="8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D1B69" w14:textId="77777777" w:rsidR="00AF51F1" w:rsidRPr="00120135" w:rsidRDefault="00711D3C">
            <w:pPr>
              <w:spacing w:after="160"/>
              <w:contextualSpacing/>
              <w:rPr>
                <w:rFonts w:cs="Arial"/>
                <w:sz w:val="22"/>
                <w:szCs w:val="22"/>
              </w:rPr>
            </w:pPr>
            <w:r w:rsidRPr="00120135">
              <w:rPr>
                <w:rFonts w:cs="Arial"/>
                <w:sz w:val="22"/>
                <w:szCs w:val="22"/>
              </w:rPr>
              <w:t>Note 12 - Intangible Assets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16655" w14:textId="46AA25AD" w:rsidR="00AF51F1" w:rsidRPr="00120135" w:rsidRDefault="00711D3C">
            <w:pPr>
              <w:spacing w:after="160"/>
              <w:contextualSpacing/>
              <w:jc w:val="center"/>
              <w:rPr>
                <w:rFonts w:cs="Arial"/>
                <w:sz w:val="22"/>
                <w:szCs w:val="22"/>
              </w:rPr>
            </w:pPr>
            <w:r w:rsidRPr="00120135">
              <w:rPr>
                <w:rFonts w:cs="Arial"/>
                <w:sz w:val="22"/>
                <w:szCs w:val="22"/>
              </w:rPr>
              <w:t>3</w:t>
            </w:r>
            <w:r w:rsidR="0003770A">
              <w:rPr>
                <w:rFonts w:cs="Arial"/>
                <w:sz w:val="22"/>
                <w:szCs w:val="22"/>
              </w:rPr>
              <w:t>4</w:t>
            </w:r>
          </w:p>
        </w:tc>
      </w:tr>
      <w:tr w:rsidR="00AF51F1" w14:paraId="22184914" w14:textId="77777777">
        <w:tc>
          <w:tcPr>
            <w:tcW w:w="8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254C5" w14:textId="77777777" w:rsidR="00AF51F1" w:rsidRPr="00120135" w:rsidRDefault="00711D3C">
            <w:pPr>
              <w:spacing w:after="160"/>
              <w:contextualSpacing/>
              <w:rPr>
                <w:rFonts w:cs="Arial"/>
                <w:sz w:val="22"/>
                <w:szCs w:val="22"/>
              </w:rPr>
            </w:pPr>
            <w:r w:rsidRPr="00120135">
              <w:rPr>
                <w:rFonts w:cs="Arial"/>
                <w:sz w:val="22"/>
                <w:szCs w:val="22"/>
              </w:rPr>
              <w:t>Note 13 - Short Term Debtors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AB82C" w14:textId="6F3B3914" w:rsidR="00AF51F1" w:rsidRPr="00120135" w:rsidRDefault="00711D3C">
            <w:pPr>
              <w:spacing w:after="160"/>
              <w:contextualSpacing/>
              <w:jc w:val="center"/>
              <w:rPr>
                <w:rFonts w:cs="Arial"/>
                <w:sz w:val="22"/>
                <w:szCs w:val="22"/>
              </w:rPr>
            </w:pPr>
            <w:r w:rsidRPr="00120135">
              <w:rPr>
                <w:rFonts w:cs="Arial"/>
                <w:sz w:val="22"/>
                <w:szCs w:val="22"/>
              </w:rPr>
              <w:t>3</w:t>
            </w:r>
            <w:r w:rsidR="0003770A">
              <w:rPr>
                <w:rFonts w:cs="Arial"/>
                <w:sz w:val="22"/>
                <w:szCs w:val="22"/>
              </w:rPr>
              <w:t>4</w:t>
            </w:r>
          </w:p>
        </w:tc>
      </w:tr>
      <w:tr w:rsidR="00AF51F1" w14:paraId="164162B2" w14:textId="77777777">
        <w:tc>
          <w:tcPr>
            <w:tcW w:w="8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8369F" w14:textId="77777777" w:rsidR="00AF51F1" w:rsidRPr="00120135" w:rsidRDefault="00711D3C">
            <w:pPr>
              <w:spacing w:after="160"/>
              <w:contextualSpacing/>
              <w:rPr>
                <w:rFonts w:cs="Arial"/>
                <w:sz w:val="22"/>
                <w:szCs w:val="22"/>
              </w:rPr>
            </w:pPr>
            <w:r w:rsidRPr="00120135">
              <w:rPr>
                <w:rFonts w:cs="Arial"/>
                <w:sz w:val="22"/>
                <w:szCs w:val="22"/>
              </w:rPr>
              <w:t>Note 14 - Short Term Creditors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427A2" w14:textId="640720A7" w:rsidR="00AF51F1" w:rsidRPr="00120135" w:rsidRDefault="00711D3C">
            <w:pPr>
              <w:spacing w:after="160"/>
              <w:contextualSpacing/>
              <w:jc w:val="center"/>
              <w:rPr>
                <w:rFonts w:cs="Arial"/>
                <w:sz w:val="22"/>
                <w:szCs w:val="22"/>
              </w:rPr>
            </w:pPr>
            <w:r w:rsidRPr="00120135">
              <w:rPr>
                <w:rFonts w:cs="Arial"/>
                <w:sz w:val="22"/>
                <w:szCs w:val="22"/>
              </w:rPr>
              <w:t>3</w:t>
            </w:r>
            <w:r w:rsidR="0003770A">
              <w:rPr>
                <w:rFonts w:cs="Arial"/>
                <w:sz w:val="22"/>
                <w:szCs w:val="22"/>
              </w:rPr>
              <w:t>5</w:t>
            </w:r>
          </w:p>
        </w:tc>
      </w:tr>
      <w:tr w:rsidR="00AF51F1" w14:paraId="488A0016" w14:textId="77777777">
        <w:tc>
          <w:tcPr>
            <w:tcW w:w="8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40F6B" w14:textId="77777777" w:rsidR="00AF51F1" w:rsidRPr="00120135" w:rsidRDefault="00711D3C">
            <w:pPr>
              <w:spacing w:after="160"/>
              <w:contextualSpacing/>
              <w:rPr>
                <w:rFonts w:cs="Arial"/>
                <w:sz w:val="22"/>
                <w:szCs w:val="22"/>
              </w:rPr>
            </w:pPr>
            <w:r w:rsidRPr="00120135">
              <w:rPr>
                <w:rFonts w:cs="Arial"/>
                <w:sz w:val="22"/>
                <w:szCs w:val="22"/>
              </w:rPr>
              <w:t>Note 15 - Related Party Transactions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06406" w14:textId="47CA39D1" w:rsidR="00AF51F1" w:rsidRPr="00120135" w:rsidRDefault="00711D3C">
            <w:pPr>
              <w:spacing w:after="160"/>
              <w:contextualSpacing/>
              <w:jc w:val="center"/>
              <w:rPr>
                <w:rFonts w:cs="Arial"/>
                <w:sz w:val="22"/>
                <w:szCs w:val="22"/>
              </w:rPr>
            </w:pPr>
            <w:r w:rsidRPr="00120135">
              <w:rPr>
                <w:rFonts w:cs="Arial"/>
                <w:sz w:val="22"/>
                <w:szCs w:val="22"/>
              </w:rPr>
              <w:t>3</w:t>
            </w:r>
            <w:r w:rsidR="0003770A">
              <w:rPr>
                <w:rFonts w:cs="Arial"/>
                <w:sz w:val="22"/>
                <w:szCs w:val="22"/>
              </w:rPr>
              <w:t>5</w:t>
            </w:r>
          </w:p>
        </w:tc>
      </w:tr>
      <w:tr w:rsidR="00AF51F1" w14:paraId="6F5731D6" w14:textId="77777777">
        <w:tc>
          <w:tcPr>
            <w:tcW w:w="8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237E3" w14:textId="77777777" w:rsidR="00AF51F1" w:rsidRPr="00120135" w:rsidRDefault="00711D3C">
            <w:pPr>
              <w:spacing w:after="160"/>
              <w:contextualSpacing/>
              <w:rPr>
                <w:rFonts w:cs="Arial"/>
                <w:sz w:val="22"/>
                <w:szCs w:val="22"/>
              </w:rPr>
            </w:pPr>
            <w:r w:rsidRPr="00120135">
              <w:rPr>
                <w:rFonts w:cs="Arial"/>
                <w:sz w:val="22"/>
                <w:szCs w:val="22"/>
              </w:rPr>
              <w:t>Note 16 - Defined Benefit Pension Schemes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96EEE2" w14:textId="36E719B2" w:rsidR="00AF51F1" w:rsidRPr="00120135" w:rsidRDefault="00711D3C">
            <w:pPr>
              <w:spacing w:after="160"/>
              <w:contextualSpacing/>
              <w:jc w:val="center"/>
              <w:rPr>
                <w:rFonts w:cs="Arial"/>
                <w:sz w:val="22"/>
                <w:szCs w:val="22"/>
              </w:rPr>
            </w:pPr>
            <w:r w:rsidRPr="00120135">
              <w:rPr>
                <w:rFonts w:cs="Arial"/>
                <w:sz w:val="22"/>
                <w:szCs w:val="22"/>
              </w:rPr>
              <w:t>3</w:t>
            </w:r>
            <w:r w:rsidR="0003770A">
              <w:rPr>
                <w:rFonts w:cs="Arial"/>
                <w:sz w:val="22"/>
                <w:szCs w:val="22"/>
              </w:rPr>
              <w:t>5</w:t>
            </w:r>
          </w:p>
        </w:tc>
      </w:tr>
      <w:tr w:rsidR="00AF51F1" w14:paraId="73EE73AA" w14:textId="77777777">
        <w:tc>
          <w:tcPr>
            <w:tcW w:w="8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FC17F" w14:textId="77777777" w:rsidR="00AF51F1" w:rsidRPr="00120135" w:rsidRDefault="00711D3C">
            <w:pPr>
              <w:spacing w:after="160"/>
              <w:contextualSpacing/>
              <w:rPr>
                <w:rFonts w:cs="Arial"/>
                <w:sz w:val="22"/>
                <w:szCs w:val="22"/>
              </w:rPr>
            </w:pPr>
            <w:r w:rsidRPr="00120135">
              <w:rPr>
                <w:rFonts w:cs="Arial"/>
                <w:sz w:val="22"/>
                <w:szCs w:val="22"/>
              </w:rPr>
              <w:t>Note 17 - External Audit Costs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F0E91" w14:textId="13D79B93" w:rsidR="00AF51F1" w:rsidRPr="00120135" w:rsidRDefault="0003770A">
            <w:pPr>
              <w:spacing w:after="160"/>
              <w:contextualSpacing/>
              <w:jc w:val="center"/>
              <w:rPr>
                <w:rFonts w:cs="Arial"/>
                <w:sz w:val="22"/>
                <w:szCs w:val="22"/>
              </w:rPr>
            </w:pPr>
            <w:r>
              <w:rPr>
                <w:rFonts w:cs="Arial"/>
                <w:sz w:val="22"/>
                <w:szCs w:val="22"/>
              </w:rPr>
              <w:t>40</w:t>
            </w:r>
          </w:p>
        </w:tc>
      </w:tr>
      <w:tr w:rsidR="00AF51F1" w14:paraId="5DCC42EC" w14:textId="77777777">
        <w:tc>
          <w:tcPr>
            <w:tcW w:w="8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83A4C" w14:textId="77777777" w:rsidR="00AF51F1" w:rsidRPr="00120135" w:rsidRDefault="00711D3C">
            <w:pPr>
              <w:spacing w:after="160"/>
              <w:contextualSpacing/>
              <w:rPr>
                <w:rFonts w:cs="Arial"/>
                <w:sz w:val="22"/>
                <w:szCs w:val="22"/>
              </w:rPr>
            </w:pPr>
            <w:r w:rsidRPr="00120135">
              <w:rPr>
                <w:rFonts w:cs="Arial"/>
                <w:sz w:val="22"/>
                <w:szCs w:val="22"/>
              </w:rPr>
              <w:t>Note 18 - Grant Income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128F0" w14:textId="4735F299" w:rsidR="00AF51F1" w:rsidRPr="00120135" w:rsidRDefault="0003770A">
            <w:pPr>
              <w:spacing w:after="160"/>
              <w:contextualSpacing/>
              <w:jc w:val="center"/>
              <w:rPr>
                <w:rFonts w:cs="Arial"/>
                <w:sz w:val="22"/>
                <w:szCs w:val="22"/>
              </w:rPr>
            </w:pPr>
            <w:r>
              <w:rPr>
                <w:rFonts w:cs="Arial"/>
                <w:sz w:val="22"/>
                <w:szCs w:val="22"/>
              </w:rPr>
              <w:t>40</w:t>
            </w:r>
          </w:p>
        </w:tc>
      </w:tr>
      <w:tr w:rsidR="00AF51F1" w14:paraId="388D04EC" w14:textId="77777777">
        <w:tc>
          <w:tcPr>
            <w:tcW w:w="8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0395F" w14:textId="77777777" w:rsidR="00AF51F1" w:rsidRPr="00120135" w:rsidRDefault="00711D3C">
            <w:pPr>
              <w:spacing w:after="160"/>
              <w:contextualSpacing/>
              <w:rPr>
                <w:rFonts w:cs="Arial"/>
                <w:sz w:val="22"/>
                <w:szCs w:val="22"/>
              </w:rPr>
            </w:pPr>
            <w:r w:rsidRPr="00120135">
              <w:rPr>
                <w:rFonts w:cs="Arial"/>
                <w:sz w:val="22"/>
                <w:szCs w:val="22"/>
              </w:rPr>
              <w:t>Note 19 - Balance Sheet Reserves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598A0" w14:textId="12FE7EA6" w:rsidR="00AF51F1" w:rsidRPr="00120135" w:rsidRDefault="00711D3C">
            <w:pPr>
              <w:spacing w:after="160"/>
              <w:contextualSpacing/>
              <w:jc w:val="center"/>
              <w:rPr>
                <w:rFonts w:cs="Arial"/>
                <w:sz w:val="22"/>
                <w:szCs w:val="22"/>
              </w:rPr>
            </w:pPr>
            <w:r w:rsidRPr="00120135">
              <w:rPr>
                <w:rFonts w:cs="Arial"/>
                <w:sz w:val="22"/>
                <w:szCs w:val="22"/>
              </w:rPr>
              <w:t>4</w:t>
            </w:r>
            <w:r w:rsidR="0003770A">
              <w:rPr>
                <w:rFonts w:cs="Arial"/>
                <w:sz w:val="22"/>
                <w:szCs w:val="22"/>
              </w:rPr>
              <w:t>1</w:t>
            </w:r>
          </w:p>
        </w:tc>
      </w:tr>
      <w:tr w:rsidR="00AF51F1" w14:paraId="11A66760" w14:textId="77777777">
        <w:tc>
          <w:tcPr>
            <w:tcW w:w="8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2AEF3" w14:textId="77777777" w:rsidR="00AF51F1" w:rsidRPr="00120135" w:rsidRDefault="00711D3C">
            <w:pPr>
              <w:spacing w:after="160"/>
              <w:contextualSpacing/>
              <w:rPr>
                <w:rFonts w:cs="Arial"/>
                <w:sz w:val="22"/>
                <w:szCs w:val="22"/>
              </w:rPr>
            </w:pPr>
            <w:r w:rsidRPr="00120135">
              <w:rPr>
                <w:rFonts w:cs="Arial"/>
                <w:sz w:val="22"/>
                <w:szCs w:val="22"/>
              </w:rPr>
              <w:t>Note 20 - Financing and Management of Liquid Resources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E5242" w14:textId="5C460AA2" w:rsidR="00AF51F1" w:rsidRPr="00120135" w:rsidRDefault="00711D3C">
            <w:pPr>
              <w:spacing w:after="160"/>
              <w:contextualSpacing/>
              <w:jc w:val="center"/>
              <w:rPr>
                <w:rFonts w:cs="Arial"/>
                <w:sz w:val="22"/>
                <w:szCs w:val="22"/>
              </w:rPr>
            </w:pPr>
            <w:r w:rsidRPr="00120135">
              <w:rPr>
                <w:rFonts w:cs="Arial"/>
                <w:sz w:val="22"/>
                <w:szCs w:val="22"/>
              </w:rPr>
              <w:t>4</w:t>
            </w:r>
            <w:r w:rsidR="0003770A">
              <w:rPr>
                <w:rFonts w:cs="Arial"/>
                <w:sz w:val="22"/>
                <w:szCs w:val="22"/>
              </w:rPr>
              <w:t>2</w:t>
            </w:r>
          </w:p>
        </w:tc>
      </w:tr>
      <w:tr w:rsidR="00AF51F1" w14:paraId="71B882E2" w14:textId="77777777">
        <w:tc>
          <w:tcPr>
            <w:tcW w:w="8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88699" w14:textId="77777777" w:rsidR="00AF51F1" w:rsidRPr="00120135" w:rsidRDefault="00711D3C">
            <w:pPr>
              <w:ind w:left="1022" w:hanging="1022"/>
              <w:rPr>
                <w:rFonts w:cs="Arial"/>
                <w:sz w:val="22"/>
                <w:szCs w:val="22"/>
              </w:rPr>
            </w:pPr>
            <w:r w:rsidRPr="00120135">
              <w:rPr>
                <w:rFonts w:cs="Arial"/>
                <w:sz w:val="22"/>
                <w:szCs w:val="22"/>
              </w:rPr>
              <w:t>Note 21 - Comprehensive Income and Expenditure Statement - financing and                        investment income and expenditure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06251" w14:textId="7CC95681" w:rsidR="00AF51F1" w:rsidRPr="00120135" w:rsidRDefault="00711D3C">
            <w:pPr>
              <w:jc w:val="center"/>
              <w:rPr>
                <w:rFonts w:cs="Arial"/>
                <w:sz w:val="22"/>
                <w:szCs w:val="22"/>
              </w:rPr>
            </w:pPr>
            <w:r w:rsidRPr="00120135">
              <w:rPr>
                <w:rFonts w:cs="Arial"/>
                <w:sz w:val="22"/>
                <w:szCs w:val="22"/>
              </w:rPr>
              <w:t>4</w:t>
            </w:r>
            <w:r w:rsidR="0003770A">
              <w:rPr>
                <w:rFonts w:cs="Arial"/>
                <w:sz w:val="22"/>
                <w:szCs w:val="22"/>
              </w:rPr>
              <w:t>2</w:t>
            </w:r>
          </w:p>
        </w:tc>
      </w:tr>
      <w:tr w:rsidR="00AF51F1" w14:paraId="20F1D885" w14:textId="77777777">
        <w:tc>
          <w:tcPr>
            <w:tcW w:w="8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2008D" w14:textId="77777777" w:rsidR="00AF51F1" w:rsidRPr="00120135" w:rsidRDefault="00711D3C">
            <w:pPr>
              <w:spacing w:after="160"/>
              <w:contextualSpacing/>
              <w:rPr>
                <w:rFonts w:cs="Arial"/>
                <w:sz w:val="22"/>
                <w:szCs w:val="22"/>
              </w:rPr>
            </w:pPr>
            <w:r w:rsidRPr="00120135">
              <w:rPr>
                <w:rFonts w:cs="Arial"/>
                <w:sz w:val="22"/>
                <w:szCs w:val="22"/>
              </w:rPr>
              <w:t>Note 22 - Going Concern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C0327" w14:textId="0C29B77A" w:rsidR="00AF51F1" w:rsidRPr="00120135" w:rsidRDefault="00711D3C">
            <w:pPr>
              <w:spacing w:after="160"/>
              <w:contextualSpacing/>
              <w:jc w:val="center"/>
              <w:rPr>
                <w:rFonts w:cs="Arial"/>
                <w:sz w:val="22"/>
                <w:szCs w:val="22"/>
              </w:rPr>
            </w:pPr>
            <w:r w:rsidRPr="00120135">
              <w:rPr>
                <w:rFonts w:cs="Arial"/>
                <w:sz w:val="22"/>
                <w:szCs w:val="22"/>
              </w:rPr>
              <w:t>4</w:t>
            </w:r>
            <w:r w:rsidR="0003770A">
              <w:rPr>
                <w:rFonts w:cs="Arial"/>
                <w:sz w:val="22"/>
                <w:szCs w:val="22"/>
              </w:rPr>
              <w:t>2</w:t>
            </w:r>
          </w:p>
        </w:tc>
      </w:tr>
      <w:tr w:rsidR="00AF51F1" w14:paraId="2BD7668B" w14:textId="77777777">
        <w:tc>
          <w:tcPr>
            <w:tcW w:w="8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C28C6" w14:textId="36E1C8B2" w:rsidR="00AF51F1" w:rsidRPr="00120135" w:rsidRDefault="00711D3C">
            <w:pPr>
              <w:spacing w:after="160"/>
              <w:contextualSpacing/>
              <w:rPr>
                <w:rFonts w:cs="Arial"/>
                <w:sz w:val="22"/>
                <w:szCs w:val="22"/>
              </w:rPr>
            </w:pPr>
            <w:r w:rsidRPr="00120135">
              <w:rPr>
                <w:rFonts w:cs="Arial"/>
                <w:sz w:val="22"/>
                <w:szCs w:val="22"/>
              </w:rPr>
              <w:t xml:space="preserve">Audit </w:t>
            </w:r>
            <w:r w:rsidR="001E5D4C">
              <w:rPr>
                <w:rFonts w:cs="Arial"/>
                <w:sz w:val="22"/>
                <w:szCs w:val="22"/>
              </w:rPr>
              <w:t>Report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5388D" w14:textId="708761E8" w:rsidR="00AF51F1" w:rsidRPr="00120135" w:rsidRDefault="00711D3C">
            <w:pPr>
              <w:spacing w:after="160"/>
              <w:contextualSpacing/>
              <w:jc w:val="center"/>
              <w:rPr>
                <w:rFonts w:cs="Arial"/>
                <w:sz w:val="22"/>
                <w:szCs w:val="22"/>
              </w:rPr>
            </w:pPr>
            <w:r w:rsidRPr="00120135">
              <w:rPr>
                <w:rFonts w:cs="Arial"/>
                <w:sz w:val="22"/>
                <w:szCs w:val="22"/>
              </w:rPr>
              <w:t>4</w:t>
            </w:r>
            <w:r w:rsidR="0003770A">
              <w:rPr>
                <w:rFonts w:cs="Arial"/>
                <w:sz w:val="22"/>
                <w:szCs w:val="22"/>
              </w:rPr>
              <w:t>3</w:t>
            </w:r>
          </w:p>
        </w:tc>
      </w:tr>
      <w:bookmarkEnd w:id="0"/>
    </w:tbl>
    <w:p w14:paraId="0185BCDD" w14:textId="77777777" w:rsidR="00AF51F1" w:rsidRDefault="00AF51F1">
      <w:pPr>
        <w:spacing w:after="160"/>
        <w:rPr>
          <w:rFonts w:cs="Arial"/>
          <w:b/>
          <w:sz w:val="22"/>
          <w:szCs w:val="22"/>
        </w:rPr>
      </w:pPr>
    </w:p>
    <w:p w14:paraId="02AB2003" w14:textId="6A315AFA" w:rsidR="00A01C43" w:rsidRDefault="00A01C43">
      <w:pPr>
        <w:suppressAutoHyphens w:val="0"/>
        <w:rPr>
          <w:rFonts w:cs="Arial"/>
          <w:b/>
          <w:sz w:val="22"/>
          <w:szCs w:val="22"/>
        </w:rPr>
      </w:pPr>
      <w:r>
        <w:rPr>
          <w:rFonts w:cs="Arial"/>
          <w:b/>
          <w:sz w:val="22"/>
          <w:szCs w:val="22"/>
        </w:rPr>
        <w:br w:type="page"/>
      </w:r>
    </w:p>
    <w:p w14:paraId="32E55633" w14:textId="77777777" w:rsidR="00AF51F1" w:rsidRDefault="00711D3C">
      <w:pPr>
        <w:pStyle w:val="Heading2"/>
        <w:rPr>
          <w:sz w:val="22"/>
          <w:szCs w:val="22"/>
        </w:rPr>
      </w:pPr>
      <w:r>
        <w:rPr>
          <w:sz w:val="22"/>
          <w:szCs w:val="22"/>
        </w:rPr>
        <w:lastRenderedPageBreak/>
        <w:t>Membership of the Board (2021/2022)</w:t>
      </w:r>
    </w:p>
    <w:p w14:paraId="2328B3AD" w14:textId="77777777" w:rsidR="00AF51F1" w:rsidRDefault="00AF51F1">
      <w:pPr>
        <w:pStyle w:val="09-Bodytext"/>
      </w:pPr>
    </w:p>
    <w:p w14:paraId="6B81C2D2" w14:textId="77777777" w:rsidR="00AF51F1" w:rsidRDefault="00711D3C">
      <w:pPr>
        <w:pStyle w:val="09-Bodytext"/>
      </w:pPr>
      <w:r>
        <w:t>Lanarkshire Valuation Joint Board (herein after referred to as ‘the Board’) is comprised of Elected Members from its two constituent local authorities.  The serving Members of the Board during financial year 2021/2022 were as noted below:</w:t>
      </w:r>
    </w:p>
    <w:p w14:paraId="6C1BDD5C" w14:textId="77777777" w:rsidR="00AF51F1" w:rsidRDefault="00AF51F1">
      <w:pPr>
        <w:pStyle w:val="09-Bodytext"/>
      </w:pPr>
    </w:p>
    <w:tbl>
      <w:tblPr>
        <w:tblW w:w="9016" w:type="dxa"/>
        <w:tblCellMar>
          <w:left w:w="10" w:type="dxa"/>
          <w:right w:w="10" w:type="dxa"/>
        </w:tblCellMar>
        <w:tblLook w:val="0000" w:firstRow="0" w:lastRow="0" w:firstColumn="0" w:lastColumn="0" w:noHBand="0" w:noVBand="0"/>
      </w:tblPr>
      <w:tblGrid>
        <w:gridCol w:w="4815"/>
        <w:gridCol w:w="4201"/>
      </w:tblGrid>
      <w:tr w:rsidR="00AF51F1" w14:paraId="5A3E58A4" w14:textId="77777777">
        <w:tc>
          <w:tcPr>
            <w:tcW w:w="4815" w:type="dxa"/>
            <w:shd w:val="clear" w:color="auto" w:fill="auto"/>
            <w:tcMar>
              <w:top w:w="0" w:type="dxa"/>
              <w:left w:w="108" w:type="dxa"/>
              <w:bottom w:w="0" w:type="dxa"/>
              <w:right w:w="108" w:type="dxa"/>
            </w:tcMar>
          </w:tcPr>
          <w:p w14:paraId="040801FE" w14:textId="77777777" w:rsidR="00AF51F1" w:rsidRDefault="00711D3C">
            <w:pPr>
              <w:pStyle w:val="09-Bodytext"/>
              <w:rPr>
                <w:b/>
                <w:bCs/>
              </w:rPr>
            </w:pPr>
            <w:r>
              <w:rPr>
                <w:b/>
                <w:bCs/>
              </w:rPr>
              <w:t>South Lanarkshire Council</w:t>
            </w:r>
          </w:p>
        </w:tc>
        <w:tc>
          <w:tcPr>
            <w:tcW w:w="4201" w:type="dxa"/>
            <w:shd w:val="clear" w:color="auto" w:fill="auto"/>
            <w:tcMar>
              <w:top w:w="0" w:type="dxa"/>
              <w:left w:w="108" w:type="dxa"/>
              <w:bottom w:w="0" w:type="dxa"/>
              <w:right w:w="108" w:type="dxa"/>
            </w:tcMar>
          </w:tcPr>
          <w:p w14:paraId="42413295" w14:textId="77777777" w:rsidR="00AF51F1" w:rsidRDefault="00711D3C">
            <w:pPr>
              <w:pStyle w:val="09-Bodytext"/>
              <w:rPr>
                <w:b/>
                <w:bCs/>
              </w:rPr>
            </w:pPr>
            <w:r>
              <w:rPr>
                <w:b/>
                <w:bCs/>
              </w:rPr>
              <w:t>North Lanarkshire Council</w:t>
            </w:r>
          </w:p>
        </w:tc>
      </w:tr>
      <w:tr w:rsidR="00AF51F1" w14:paraId="0D358546" w14:textId="77777777">
        <w:tc>
          <w:tcPr>
            <w:tcW w:w="4815" w:type="dxa"/>
            <w:shd w:val="clear" w:color="auto" w:fill="auto"/>
            <w:tcMar>
              <w:top w:w="0" w:type="dxa"/>
              <w:left w:w="108" w:type="dxa"/>
              <w:bottom w:w="0" w:type="dxa"/>
              <w:right w:w="108" w:type="dxa"/>
            </w:tcMar>
          </w:tcPr>
          <w:p w14:paraId="24DB759B" w14:textId="77777777" w:rsidR="00AF51F1" w:rsidRDefault="00711D3C">
            <w:pPr>
              <w:pStyle w:val="09-Bodytext"/>
            </w:pPr>
            <w:r>
              <w:t>Councillor Lynsey Hamilton (Depute Convenor)</w:t>
            </w:r>
          </w:p>
        </w:tc>
        <w:tc>
          <w:tcPr>
            <w:tcW w:w="4201" w:type="dxa"/>
            <w:shd w:val="clear" w:color="auto" w:fill="auto"/>
            <w:tcMar>
              <w:top w:w="0" w:type="dxa"/>
              <w:left w:w="108" w:type="dxa"/>
              <w:bottom w:w="0" w:type="dxa"/>
              <w:right w:w="108" w:type="dxa"/>
            </w:tcMar>
          </w:tcPr>
          <w:p w14:paraId="123B6F9D" w14:textId="77777777" w:rsidR="00AF51F1" w:rsidRDefault="00711D3C">
            <w:pPr>
              <w:pStyle w:val="09-Bodytext"/>
            </w:pPr>
            <w:r>
              <w:t>Councillor Alex McVey (Convenor)</w:t>
            </w:r>
          </w:p>
        </w:tc>
      </w:tr>
      <w:tr w:rsidR="00AF51F1" w14:paraId="55C00135" w14:textId="77777777">
        <w:tc>
          <w:tcPr>
            <w:tcW w:w="4815" w:type="dxa"/>
            <w:shd w:val="clear" w:color="auto" w:fill="auto"/>
            <w:tcMar>
              <w:top w:w="0" w:type="dxa"/>
              <w:left w:w="108" w:type="dxa"/>
              <w:bottom w:w="0" w:type="dxa"/>
              <w:right w:w="108" w:type="dxa"/>
            </w:tcMar>
          </w:tcPr>
          <w:p w14:paraId="59467A7C" w14:textId="77777777" w:rsidR="00AF51F1" w:rsidRDefault="00711D3C">
            <w:pPr>
              <w:pStyle w:val="09-Bodytext"/>
            </w:pPr>
            <w:r>
              <w:t>Councillor Poppy Corbett</w:t>
            </w:r>
          </w:p>
          <w:p w14:paraId="7FD5DFC1" w14:textId="77777777" w:rsidR="00AF51F1" w:rsidRDefault="00711D3C">
            <w:pPr>
              <w:pStyle w:val="09-Bodytext"/>
            </w:pPr>
            <w:r>
              <w:t>(</w:t>
            </w:r>
            <w:proofErr w:type="gramStart"/>
            <w:r>
              <w:t>until</w:t>
            </w:r>
            <w:proofErr w:type="gramEnd"/>
            <w:r>
              <w:t xml:space="preserve"> 3 November 2021)</w:t>
            </w:r>
          </w:p>
        </w:tc>
        <w:tc>
          <w:tcPr>
            <w:tcW w:w="4201" w:type="dxa"/>
            <w:shd w:val="clear" w:color="auto" w:fill="auto"/>
            <w:tcMar>
              <w:top w:w="0" w:type="dxa"/>
              <w:left w:w="108" w:type="dxa"/>
              <w:bottom w:w="0" w:type="dxa"/>
              <w:right w:w="108" w:type="dxa"/>
            </w:tcMar>
          </w:tcPr>
          <w:p w14:paraId="4AF5E0DB" w14:textId="77777777" w:rsidR="00AF51F1" w:rsidRDefault="00711D3C">
            <w:pPr>
              <w:pStyle w:val="09-Bodytext"/>
            </w:pPr>
            <w:r>
              <w:t>Councillor Caroline Stephen</w:t>
            </w:r>
            <w:r>
              <w:tab/>
            </w:r>
          </w:p>
        </w:tc>
      </w:tr>
      <w:tr w:rsidR="00AF51F1" w14:paraId="785C8903" w14:textId="77777777">
        <w:tc>
          <w:tcPr>
            <w:tcW w:w="4815" w:type="dxa"/>
            <w:shd w:val="clear" w:color="auto" w:fill="auto"/>
            <w:tcMar>
              <w:top w:w="0" w:type="dxa"/>
              <w:left w:w="108" w:type="dxa"/>
              <w:bottom w:w="0" w:type="dxa"/>
              <w:right w:w="108" w:type="dxa"/>
            </w:tcMar>
          </w:tcPr>
          <w:p w14:paraId="41FB2B51" w14:textId="77777777" w:rsidR="00AF51F1" w:rsidRDefault="00711D3C">
            <w:pPr>
              <w:pStyle w:val="09-Bodytext"/>
            </w:pPr>
            <w:r>
              <w:t>Councillor Peter Craig</w:t>
            </w:r>
            <w:r>
              <w:tab/>
            </w:r>
          </w:p>
        </w:tc>
        <w:tc>
          <w:tcPr>
            <w:tcW w:w="4201" w:type="dxa"/>
            <w:shd w:val="clear" w:color="auto" w:fill="auto"/>
            <w:tcMar>
              <w:top w:w="0" w:type="dxa"/>
              <w:left w:w="108" w:type="dxa"/>
              <w:bottom w:w="0" w:type="dxa"/>
              <w:right w:w="108" w:type="dxa"/>
            </w:tcMar>
          </w:tcPr>
          <w:p w14:paraId="5BB98CD4" w14:textId="77777777" w:rsidR="00AF51F1" w:rsidRDefault="00711D3C">
            <w:pPr>
              <w:pStyle w:val="09-Bodytext"/>
            </w:pPr>
            <w:r>
              <w:t>Councillor Bob Burgess</w:t>
            </w:r>
          </w:p>
        </w:tc>
      </w:tr>
      <w:tr w:rsidR="00AF51F1" w14:paraId="65D1D012" w14:textId="77777777">
        <w:tc>
          <w:tcPr>
            <w:tcW w:w="4815" w:type="dxa"/>
            <w:shd w:val="clear" w:color="auto" w:fill="auto"/>
            <w:tcMar>
              <w:top w:w="0" w:type="dxa"/>
              <w:left w:w="108" w:type="dxa"/>
              <w:bottom w:w="0" w:type="dxa"/>
              <w:right w:w="108" w:type="dxa"/>
            </w:tcMar>
          </w:tcPr>
          <w:p w14:paraId="11013CCB" w14:textId="77777777" w:rsidR="00AF51F1" w:rsidRDefault="00711D3C">
            <w:pPr>
              <w:pStyle w:val="09-Bodytext"/>
            </w:pPr>
            <w:r>
              <w:t>Councillor Isobel Dorman</w:t>
            </w:r>
          </w:p>
        </w:tc>
        <w:tc>
          <w:tcPr>
            <w:tcW w:w="4201" w:type="dxa"/>
            <w:shd w:val="clear" w:color="auto" w:fill="auto"/>
            <w:tcMar>
              <w:top w:w="0" w:type="dxa"/>
              <w:left w:w="108" w:type="dxa"/>
              <w:bottom w:w="0" w:type="dxa"/>
              <w:right w:w="108" w:type="dxa"/>
            </w:tcMar>
          </w:tcPr>
          <w:p w14:paraId="7785DF3B" w14:textId="77777777" w:rsidR="00AF51F1" w:rsidRDefault="00711D3C">
            <w:pPr>
              <w:pStyle w:val="09-Bodytext"/>
            </w:pPr>
            <w:r>
              <w:t>Councillor Tom Castles</w:t>
            </w:r>
          </w:p>
        </w:tc>
      </w:tr>
      <w:tr w:rsidR="00AF51F1" w14:paraId="29F37FFA" w14:textId="77777777">
        <w:tc>
          <w:tcPr>
            <w:tcW w:w="4815" w:type="dxa"/>
            <w:shd w:val="clear" w:color="auto" w:fill="auto"/>
            <w:tcMar>
              <w:top w:w="0" w:type="dxa"/>
              <w:left w:w="108" w:type="dxa"/>
              <w:bottom w:w="0" w:type="dxa"/>
              <w:right w:w="108" w:type="dxa"/>
            </w:tcMar>
          </w:tcPr>
          <w:p w14:paraId="3D282346" w14:textId="77777777" w:rsidR="00AF51F1" w:rsidRDefault="00711D3C">
            <w:pPr>
              <w:pStyle w:val="09-Bodytext"/>
            </w:pPr>
            <w:r>
              <w:t>Councillor Geri Gray</w:t>
            </w:r>
          </w:p>
        </w:tc>
        <w:tc>
          <w:tcPr>
            <w:tcW w:w="4201" w:type="dxa"/>
            <w:shd w:val="clear" w:color="auto" w:fill="auto"/>
            <w:tcMar>
              <w:top w:w="0" w:type="dxa"/>
              <w:left w:w="108" w:type="dxa"/>
              <w:bottom w:w="0" w:type="dxa"/>
              <w:right w:w="108" w:type="dxa"/>
            </w:tcMar>
          </w:tcPr>
          <w:p w14:paraId="47DDFB03" w14:textId="77777777" w:rsidR="00AF51F1" w:rsidRDefault="00711D3C">
            <w:pPr>
              <w:pStyle w:val="09-Bodytext"/>
            </w:pPr>
            <w:r>
              <w:t xml:space="preserve">Councillor Jim </w:t>
            </w:r>
            <w:proofErr w:type="spellStart"/>
            <w:r>
              <w:t>Reddin</w:t>
            </w:r>
            <w:proofErr w:type="spellEnd"/>
          </w:p>
        </w:tc>
      </w:tr>
      <w:tr w:rsidR="00AF51F1" w14:paraId="60038245" w14:textId="77777777">
        <w:tc>
          <w:tcPr>
            <w:tcW w:w="4815" w:type="dxa"/>
            <w:shd w:val="clear" w:color="auto" w:fill="auto"/>
            <w:tcMar>
              <w:top w:w="0" w:type="dxa"/>
              <w:left w:w="108" w:type="dxa"/>
              <w:bottom w:w="0" w:type="dxa"/>
              <w:right w:w="108" w:type="dxa"/>
            </w:tcMar>
          </w:tcPr>
          <w:p w14:paraId="7D816425" w14:textId="77777777" w:rsidR="00AF51F1" w:rsidRDefault="00711D3C">
            <w:pPr>
              <w:pStyle w:val="09-Bodytext"/>
            </w:pPr>
            <w:r>
              <w:t>Councillor Ann Le Blond</w:t>
            </w:r>
            <w:r>
              <w:tab/>
            </w:r>
          </w:p>
        </w:tc>
        <w:tc>
          <w:tcPr>
            <w:tcW w:w="4201" w:type="dxa"/>
            <w:shd w:val="clear" w:color="auto" w:fill="auto"/>
            <w:tcMar>
              <w:top w:w="0" w:type="dxa"/>
              <w:left w:w="108" w:type="dxa"/>
              <w:bottom w:w="0" w:type="dxa"/>
              <w:right w:w="108" w:type="dxa"/>
            </w:tcMar>
          </w:tcPr>
          <w:p w14:paraId="67EBE6D6" w14:textId="77777777" w:rsidR="00AF51F1" w:rsidRDefault="00711D3C">
            <w:pPr>
              <w:pStyle w:val="09-Bodytext"/>
            </w:pPr>
            <w:r>
              <w:rPr>
                <w:bCs/>
              </w:rPr>
              <w:t>Councillor Tom Johnston</w:t>
            </w:r>
          </w:p>
        </w:tc>
      </w:tr>
      <w:tr w:rsidR="00AF51F1" w14:paraId="1D9E5B09" w14:textId="77777777">
        <w:tc>
          <w:tcPr>
            <w:tcW w:w="4815" w:type="dxa"/>
            <w:shd w:val="clear" w:color="auto" w:fill="auto"/>
            <w:tcMar>
              <w:top w:w="0" w:type="dxa"/>
              <w:left w:w="108" w:type="dxa"/>
              <w:bottom w:w="0" w:type="dxa"/>
              <w:right w:w="108" w:type="dxa"/>
            </w:tcMar>
          </w:tcPr>
          <w:p w14:paraId="01A98BCE" w14:textId="77777777" w:rsidR="00AF51F1" w:rsidRDefault="00711D3C">
            <w:pPr>
              <w:pStyle w:val="09-Bodytext"/>
            </w:pPr>
            <w:r>
              <w:t xml:space="preserve">Councillor Jim </w:t>
            </w:r>
            <w:proofErr w:type="spellStart"/>
            <w:r>
              <w:t>Wardhaugh</w:t>
            </w:r>
            <w:proofErr w:type="spellEnd"/>
            <w:r>
              <w:tab/>
            </w:r>
          </w:p>
        </w:tc>
        <w:tc>
          <w:tcPr>
            <w:tcW w:w="4201" w:type="dxa"/>
            <w:shd w:val="clear" w:color="auto" w:fill="auto"/>
            <w:tcMar>
              <w:top w:w="0" w:type="dxa"/>
              <w:left w:w="108" w:type="dxa"/>
              <w:bottom w:w="0" w:type="dxa"/>
              <w:right w:w="108" w:type="dxa"/>
            </w:tcMar>
          </w:tcPr>
          <w:p w14:paraId="6064FF2D" w14:textId="77777777" w:rsidR="00AF51F1" w:rsidRDefault="00711D3C">
            <w:pPr>
              <w:pStyle w:val="09-Bodytext"/>
            </w:pPr>
            <w:r>
              <w:t>Councillor William Shields</w:t>
            </w:r>
          </w:p>
        </w:tc>
      </w:tr>
      <w:tr w:rsidR="00AF51F1" w14:paraId="72D852FB" w14:textId="77777777">
        <w:tc>
          <w:tcPr>
            <w:tcW w:w="4815" w:type="dxa"/>
            <w:shd w:val="clear" w:color="auto" w:fill="auto"/>
            <w:tcMar>
              <w:top w:w="0" w:type="dxa"/>
              <w:left w:w="108" w:type="dxa"/>
              <w:bottom w:w="0" w:type="dxa"/>
              <w:right w:w="108" w:type="dxa"/>
            </w:tcMar>
          </w:tcPr>
          <w:p w14:paraId="5F17269C" w14:textId="77777777" w:rsidR="00AF51F1" w:rsidRDefault="00711D3C">
            <w:pPr>
              <w:pStyle w:val="09-Bodytext"/>
            </w:pPr>
            <w:r>
              <w:t>Councillor Walter Brogan*</w:t>
            </w:r>
          </w:p>
        </w:tc>
        <w:tc>
          <w:tcPr>
            <w:tcW w:w="4201" w:type="dxa"/>
            <w:shd w:val="clear" w:color="auto" w:fill="auto"/>
            <w:tcMar>
              <w:top w:w="0" w:type="dxa"/>
              <w:left w:w="108" w:type="dxa"/>
              <w:bottom w:w="0" w:type="dxa"/>
              <w:right w:w="108" w:type="dxa"/>
            </w:tcMar>
          </w:tcPr>
          <w:p w14:paraId="16310D4F" w14:textId="77777777" w:rsidR="00AF51F1" w:rsidRDefault="00711D3C">
            <w:pPr>
              <w:pStyle w:val="09-Bodytext"/>
            </w:pPr>
            <w:r>
              <w:t>Councillor Annette Valentine</w:t>
            </w:r>
          </w:p>
        </w:tc>
      </w:tr>
      <w:tr w:rsidR="00AF51F1" w14:paraId="7EE50E0D" w14:textId="77777777">
        <w:tc>
          <w:tcPr>
            <w:tcW w:w="4815" w:type="dxa"/>
            <w:shd w:val="clear" w:color="auto" w:fill="auto"/>
            <w:tcMar>
              <w:top w:w="0" w:type="dxa"/>
              <w:left w:w="108" w:type="dxa"/>
              <w:bottom w:w="0" w:type="dxa"/>
              <w:right w:w="108" w:type="dxa"/>
            </w:tcMar>
          </w:tcPr>
          <w:p w14:paraId="6FF46BBB" w14:textId="77777777" w:rsidR="00AF51F1" w:rsidRDefault="00AF51F1">
            <w:pPr>
              <w:pStyle w:val="09-Bodytext"/>
            </w:pPr>
          </w:p>
        </w:tc>
        <w:tc>
          <w:tcPr>
            <w:tcW w:w="4201" w:type="dxa"/>
            <w:shd w:val="clear" w:color="auto" w:fill="auto"/>
            <w:tcMar>
              <w:top w:w="0" w:type="dxa"/>
              <w:left w:w="108" w:type="dxa"/>
              <w:bottom w:w="0" w:type="dxa"/>
              <w:right w:w="108" w:type="dxa"/>
            </w:tcMar>
          </w:tcPr>
          <w:p w14:paraId="0ED5CB37" w14:textId="77777777" w:rsidR="00AF51F1" w:rsidRDefault="00711D3C">
            <w:pPr>
              <w:pStyle w:val="09-Bodytext"/>
              <w:rPr>
                <w:bCs/>
              </w:rPr>
            </w:pPr>
            <w:r>
              <w:rPr>
                <w:bCs/>
              </w:rPr>
              <w:t>Councillor Meghan Gallagher</w:t>
            </w:r>
          </w:p>
          <w:p w14:paraId="3AE1AE36" w14:textId="77777777" w:rsidR="00AF51F1" w:rsidRDefault="00711D3C">
            <w:pPr>
              <w:pStyle w:val="09-Bodytext"/>
            </w:pPr>
            <w:r>
              <w:rPr>
                <w:bCs/>
              </w:rPr>
              <w:t>(</w:t>
            </w:r>
            <w:proofErr w:type="gramStart"/>
            <w:r>
              <w:rPr>
                <w:bCs/>
              </w:rPr>
              <w:t>until</w:t>
            </w:r>
            <w:proofErr w:type="gramEnd"/>
            <w:r>
              <w:rPr>
                <w:bCs/>
              </w:rPr>
              <w:t xml:space="preserve"> 17 June 2021)</w:t>
            </w:r>
          </w:p>
        </w:tc>
      </w:tr>
      <w:tr w:rsidR="00AF51F1" w14:paraId="4AE31F51" w14:textId="77777777">
        <w:tc>
          <w:tcPr>
            <w:tcW w:w="4815" w:type="dxa"/>
            <w:shd w:val="clear" w:color="auto" w:fill="auto"/>
            <w:tcMar>
              <w:top w:w="0" w:type="dxa"/>
              <w:left w:w="108" w:type="dxa"/>
              <w:bottom w:w="0" w:type="dxa"/>
              <w:right w:w="108" w:type="dxa"/>
            </w:tcMar>
          </w:tcPr>
          <w:p w14:paraId="34591105" w14:textId="77777777" w:rsidR="00AF51F1" w:rsidRDefault="00AF51F1">
            <w:pPr>
              <w:pStyle w:val="09-Bodytext"/>
            </w:pPr>
          </w:p>
        </w:tc>
        <w:tc>
          <w:tcPr>
            <w:tcW w:w="4201" w:type="dxa"/>
            <w:shd w:val="clear" w:color="auto" w:fill="auto"/>
            <w:tcMar>
              <w:top w:w="0" w:type="dxa"/>
              <w:left w:w="108" w:type="dxa"/>
              <w:bottom w:w="0" w:type="dxa"/>
              <w:right w:w="108" w:type="dxa"/>
            </w:tcMar>
          </w:tcPr>
          <w:p w14:paraId="57EEAFE0" w14:textId="77777777" w:rsidR="00AF51F1" w:rsidRDefault="00711D3C">
            <w:pPr>
              <w:pStyle w:val="09-Bodytext"/>
              <w:rPr>
                <w:bCs/>
              </w:rPr>
            </w:pPr>
            <w:r>
              <w:rPr>
                <w:bCs/>
              </w:rPr>
              <w:t>Councillor Trevor Douglas</w:t>
            </w:r>
          </w:p>
          <w:p w14:paraId="7ADE1404" w14:textId="77777777" w:rsidR="00AF51F1" w:rsidRDefault="00711D3C">
            <w:pPr>
              <w:pStyle w:val="09-Bodytext"/>
              <w:rPr>
                <w:bCs/>
              </w:rPr>
            </w:pPr>
            <w:r>
              <w:rPr>
                <w:bCs/>
              </w:rPr>
              <w:t>(</w:t>
            </w:r>
            <w:proofErr w:type="gramStart"/>
            <w:r>
              <w:rPr>
                <w:bCs/>
              </w:rPr>
              <w:t>from</w:t>
            </w:r>
            <w:proofErr w:type="gramEnd"/>
            <w:r>
              <w:rPr>
                <w:bCs/>
              </w:rPr>
              <w:t xml:space="preserve"> 17 June 2021)</w:t>
            </w:r>
          </w:p>
          <w:p w14:paraId="34B2D005" w14:textId="77777777" w:rsidR="00AF51F1" w:rsidRDefault="00AF51F1">
            <w:pPr>
              <w:pStyle w:val="09-Bodytext"/>
              <w:rPr>
                <w:bCs/>
              </w:rPr>
            </w:pPr>
          </w:p>
        </w:tc>
      </w:tr>
    </w:tbl>
    <w:p w14:paraId="0635358E" w14:textId="77777777" w:rsidR="00AF51F1" w:rsidRDefault="00711D3C">
      <w:pPr>
        <w:pStyle w:val="09-Bodytext"/>
      </w:pPr>
      <w:r w:rsidRPr="00292930">
        <w:t>*Councillor Walter Brogan was elected as Convenor of the Board at its meeting on 27 June 2022</w:t>
      </w:r>
    </w:p>
    <w:p w14:paraId="425434DE" w14:textId="77777777" w:rsidR="00AF51F1" w:rsidRDefault="00AF51F1">
      <w:pPr>
        <w:pStyle w:val="09-Bodytext"/>
      </w:pPr>
    </w:p>
    <w:p w14:paraId="337D0FE7" w14:textId="77777777" w:rsidR="00AF51F1" w:rsidRDefault="00711D3C">
      <w:pPr>
        <w:pStyle w:val="09-Bodytext"/>
        <w:rPr>
          <w:b/>
          <w:bCs/>
        </w:rPr>
      </w:pPr>
      <w:r>
        <w:rPr>
          <w:b/>
          <w:bCs/>
        </w:rPr>
        <w:t>Chief Officers</w:t>
      </w:r>
    </w:p>
    <w:p w14:paraId="5FD7CFEE" w14:textId="77777777" w:rsidR="00AF51F1" w:rsidRDefault="00AF51F1">
      <w:pPr>
        <w:pStyle w:val="09-Bodytext"/>
      </w:pPr>
    </w:p>
    <w:p w14:paraId="7550D472" w14:textId="77777777" w:rsidR="00AF51F1" w:rsidRDefault="00711D3C">
      <w:pPr>
        <w:pStyle w:val="09-Bodytext"/>
        <w:ind w:left="4395" w:hanging="4395"/>
      </w:pPr>
      <w:r>
        <w:t>Assessor and Electoral Registration Officer:</w:t>
      </w:r>
      <w:r>
        <w:tab/>
        <w:t>Gary Bennett BSc MSc AEA (Cert-Scotland) MRICS IRRV (Hons)</w:t>
      </w:r>
    </w:p>
    <w:p w14:paraId="38F30456" w14:textId="77777777" w:rsidR="00AF51F1" w:rsidRDefault="00AF51F1">
      <w:pPr>
        <w:pStyle w:val="09-Bodytext"/>
      </w:pPr>
    </w:p>
    <w:p w14:paraId="5DFA38DF" w14:textId="77777777" w:rsidR="00AF51F1" w:rsidRDefault="00711D3C">
      <w:pPr>
        <w:pStyle w:val="09-Bodytext"/>
      </w:pPr>
      <w:r>
        <w:t>The following appointed office bearers of the Board are employed on a substantive basis by South Lanarkshire Council:</w:t>
      </w:r>
    </w:p>
    <w:p w14:paraId="6364B6D9" w14:textId="77777777" w:rsidR="00AF51F1" w:rsidRDefault="00AF51F1">
      <w:pPr>
        <w:pStyle w:val="09-Bodytext"/>
      </w:pPr>
    </w:p>
    <w:p w14:paraId="29C79BFE" w14:textId="77777777" w:rsidR="00AF51F1" w:rsidRDefault="00711D3C">
      <w:pPr>
        <w:pStyle w:val="09-Bodytext"/>
        <w:ind w:left="4395" w:hanging="4395"/>
      </w:pPr>
      <w:r>
        <w:t>Clerk:</w:t>
      </w:r>
      <w:r>
        <w:tab/>
        <w:t>Cleland Sneddon (Chief Executive of South Lanarkshire Council)</w:t>
      </w:r>
    </w:p>
    <w:p w14:paraId="69B82E19" w14:textId="77777777" w:rsidR="00AF51F1" w:rsidRDefault="00711D3C">
      <w:pPr>
        <w:pStyle w:val="09-Bodytext"/>
      </w:pPr>
      <w:r>
        <w:tab/>
      </w:r>
      <w:r>
        <w:tab/>
      </w:r>
    </w:p>
    <w:p w14:paraId="59CD5237" w14:textId="77777777" w:rsidR="00AF51F1" w:rsidRDefault="00AF51F1">
      <w:pPr>
        <w:pStyle w:val="09-Bodytext"/>
      </w:pPr>
    </w:p>
    <w:p w14:paraId="34D7FFB8" w14:textId="77777777" w:rsidR="00AF51F1" w:rsidRDefault="00711D3C">
      <w:pPr>
        <w:pStyle w:val="09-Bodytext"/>
        <w:ind w:left="4395" w:hanging="4395"/>
      </w:pPr>
      <w:r>
        <w:t>Treasurer:</w:t>
      </w:r>
      <w:r>
        <w:tab/>
        <w:t>Paul Manning (Executive Director of Finance and Corporate Resources, South Lanarkshire Council)</w:t>
      </w:r>
    </w:p>
    <w:p w14:paraId="5D79F35C" w14:textId="77777777" w:rsidR="00AF51F1" w:rsidRDefault="00AF51F1">
      <w:pPr>
        <w:pStyle w:val="09-Bodytext"/>
      </w:pPr>
    </w:p>
    <w:p w14:paraId="2A79EF22" w14:textId="77777777" w:rsidR="00AF51F1" w:rsidRDefault="00AF51F1">
      <w:pPr>
        <w:pStyle w:val="09-Bodytext"/>
      </w:pPr>
    </w:p>
    <w:p w14:paraId="392522D4" w14:textId="066372E2" w:rsidR="00A01C43" w:rsidRDefault="00A01C43">
      <w:pPr>
        <w:suppressAutoHyphens w:val="0"/>
        <w:rPr>
          <w:rFonts w:cs="Arial"/>
          <w:b/>
          <w:sz w:val="22"/>
          <w:szCs w:val="22"/>
        </w:rPr>
      </w:pPr>
      <w:r>
        <w:rPr>
          <w:rFonts w:cs="Arial"/>
          <w:b/>
          <w:sz w:val="22"/>
          <w:szCs w:val="22"/>
        </w:rPr>
        <w:br w:type="page"/>
      </w:r>
    </w:p>
    <w:p w14:paraId="4040F96C" w14:textId="77777777" w:rsidR="00AF51F1" w:rsidRDefault="00711D3C">
      <w:pPr>
        <w:pStyle w:val="Heading2"/>
        <w:rPr>
          <w:sz w:val="22"/>
          <w:szCs w:val="22"/>
        </w:rPr>
      </w:pPr>
      <w:r>
        <w:rPr>
          <w:sz w:val="22"/>
          <w:szCs w:val="22"/>
        </w:rPr>
        <w:lastRenderedPageBreak/>
        <w:t>Management Commentary 2021/22</w:t>
      </w:r>
    </w:p>
    <w:p w14:paraId="17AD6A4C" w14:textId="77777777" w:rsidR="00AF51F1" w:rsidRDefault="00711D3C">
      <w:pPr>
        <w:pStyle w:val="09-Bodytext"/>
      </w:pPr>
      <w:r>
        <w:br/>
        <w:t>The management commentary provides an overview of the key messages in relation to the objectives and strategy of Lanarkshire Valuation Joint Board (the Board) and its financial performance for the year ended 31 March 2022.  It also provides an indication of the issues and risks that may impact upon the Board’s finances in the future.</w:t>
      </w:r>
    </w:p>
    <w:p w14:paraId="72D392B7" w14:textId="77777777" w:rsidR="00AF51F1" w:rsidRDefault="00AF51F1">
      <w:pPr>
        <w:pStyle w:val="09-Bodytext"/>
      </w:pPr>
    </w:p>
    <w:p w14:paraId="39B05DA8" w14:textId="77777777" w:rsidR="00AF51F1" w:rsidRDefault="00711D3C">
      <w:pPr>
        <w:pStyle w:val="09-Bodytext"/>
      </w:pPr>
      <w:r>
        <w:t xml:space="preserve">The Board was established by the Valuation Joint Boards (Scotland) Order 1995 and came into existence on 1 April 1996.  It provides a range of valuation and electoral registration services to and on behalf of South Lanarkshire Council and North Lanarkshire Council (the constituent authorities), working in partnership with other Valuation Joint Boards and professional bodies throughout Scotland. </w:t>
      </w:r>
    </w:p>
    <w:p w14:paraId="3E05D484" w14:textId="77777777" w:rsidR="00AF51F1" w:rsidRDefault="00AF51F1">
      <w:pPr>
        <w:pStyle w:val="09-Bodytext"/>
        <w:rPr>
          <w:b/>
        </w:rPr>
      </w:pPr>
    </w:p>
    <w:p w14:paraId="00B6A7AB" w14:textId="77777777" w:rsidR="00AF51F1" w:rsidRDefault="00711D3C">
      <w:pPr>
        <w:pStyle w:val="09-Bodytext"/>
        <w:rPr>
          <w:b/>
        </w:rPr>
      </w:pPr>
      <w:r>
        <w:rPr>
          <w:b/>
        </w:rPr>
        <w:t>Core Purpose, Vision, Service Function and Core Objectives</w:t>
      </w:r>
    </w:p>
    <w:p w14:paraId="7A4B0B2E" w14:textId="77777777" w:rsidR="00AF51F1" w:rsidRDefault="00711D3C">
      <w:pPr>
        <w:pStyle w:val="09-Bodytext"/>
      </w:pPr>
      <w:r>
        <w:rPr>
          <w:rFonts w:eastAsia="Arial"/>
          <w:color w:val="0C0C0C"/>
          <w:w w:val="105"/>
          <w:lang w:val="en-US"/>
        </w:rPr>
        <w:t>The Board's Service Plan was approved at the Board meeting in March 2022 and covers the period April 2022 through to March 2025. The Plan incorporates the Board's Vision statement which is "</w:t>
      </w:r>
      <w:r>
        <w:t>to deliver quality in the work which we undertake, provide efficient services to all service users, and ensure completeness and accuracy of the Electoral Register, Valuation Roll and the Valuation (Council Tax) List”</w:t>
      </w:r>
      <w:r>
        <w:rPr>
          <w:rFonts w:eastAsia="Arial"/>
          <w:color w:val="0C0C0C"/>
          <w:w w:val="105"/>
          <w:lang w:val="en-US"/>
        </w:rPr>
        <w:t>.</w:t>
      </w:r>
    </w:p>
    <w:p w14:paraId="2BF8EF88" w14:textId="77777777" w:rsidR="00AF51F1" w:rsidRDefault="00AF51F1">
      <w:pPr>
        <w:pStyle w:val="09-Bodytext"/>
        <w:rPr>
          <w:rFonts w:eastAsia="Arial"/>
          <w:lang w:val="en-US"/>
        </w:rPr>
      </w:pPr>
    </w:p>
    <w:p w14:paraId="0809F12D" w14:textId="77777777" w:rsidR="00AF51F1" w:rsidRDefault="00711D3C">
      <w:pPr>
        <w:pStyle w:val="09-Bodytext"/>
      </w:pPr>
      <w:r>
        <w:rPr>
          <w:color w:val="0C0C0C"/>
          <w:w w:val="105"/>
        </w:rPr>
        <w:t>The Plan sets out the key business areas identified for Lanarkshire Valuation Joint Board over the three-year period, with a view to ensuring that LVJB’s services are delivered as effectively and efficiently as possible to service users.</w:t>
      </w:r>
    </w:p>
    <w:p w14:paraId="00760ABE" w14:textId="77777777" w:rsidR="00AF51F1" w:rsidRDefault="00AF51F1">
      <w:pPr>
        <w:pStyle w:val="09-Bodytext"/>
        <w:rPr>
          <w:rFonts w:eastAsia="Arial"/>
          <w:color w:val="0C0C0C"/>
          <w:w w:val="105"/>
          <w:lang w:val="en-US"/>
        </w:rPr>
      </w:pPr>
    </w:p>
    <w:p w14:paraId="4B86C1C3" w14:textId="77777777" w:rsidR="00AF51F1" w:rsidRDefault="00711D3C">
      <w:pPr>
        <w:pStyle w:val="09-Bodytext"/>
      </w:pPr>
      <w:r>
        <w:rPr>
          <w:rFonts w:eastAsia="Arial"/>
          <w:color w:val="0C0C0C"/>
          <w:w w:val="105"/>
          <w:lang w:val="en-US"/>
        </w:rPr>
        <w:t>Where deemed appropriate, each key business area is supported by a series of priorities and measurable key actions, against which performance is regularly reported to the Board.</w:t>
      </w:r>
    </w:p>
    <w:p w14:paraId="0BC42C29" w14:textId="77777777" w:rsidR="00AF51F1" w:rsidRDefault="00AF51F1">
      <w:pPr>
        <w:pStyle w:val="09-Bodytext"/>
        <w:rPr>
          <w:b/>
        </w:rPr>
      </w:pPr>
    </w:p>
    <w:p w14:paraId="7FDEE96C" w14:textId="77777777" w:rsidR="00AF51F1" w:rsidRDefault="00711D3C">
      <w:pPr>
        <w:pStyle w:val="09-Bodytext"/>
        <w:rPr>
          <w:b/>
        </w:rPr>
      </w:pPr>
      <w:r>
        <w:rPr>
          <w:b/>
        </w:rPr>
        <w:t>Review of Performance</w:t>
      </w:r>
    </w:p>
    <w:p w14:paraId="25ADCDD8" w14:textId="77777777" w:rsidR="00AF51F1" w:rsidRDefault="00711D3C">
      <w:pPr>
        <w:pStyle w:val="09-Bodytext"/>
      </w:pPr>
      <w:r>
        <w:rPr>
          <w:rFonts w:eastAsia="Arial"/>
          <w:color w:val="0C0C0C"/>
          <w:w w:val="105"/>
          <w:lang w:val="en-US"/>
        </w:rPr>
        <w:t>The Board's performance against key performance indicator (KPI) targets during 2021/22, was as follows:</w:t>
      </w:r>
    </w:p>
    <w:p w14:paraId="17BEA9D1" w14:textId="77777777" w:rsidR="00AF51F1" w:rsidRDefault="00AF51F1">
      <w:pPr>
        <w:pStyle w:val="09-Bodytext"/>
        <w:rPr>
          <w:rFonts w:eastAsia="Arial"/>
          <w:lang w:val="en-US"/>
        </w:rPr>
      </w:pPr>
    </w:p>
    <w:p w14:paraId="0885824F" w14:textId="77777777" w:rsidR="00AF51F1" w:rsidRDefault="00711D3C">
      <w:pPr>
        <w:pStyle w:val="09-Bodytext"/>
      </w:pPr>
      <w:r>
        <w:rPr>
          <w:color w:val="0C0C0C"/>
          <w:w w:val="105"/>
        </w:rPr>
        <w:t>Of 2,818 new Council Tax entries added, 93% were completed within 3 months of the effective date against a target of 87%. 98% were completed within 6 months against a target of 92%.</w:t>
      </w:r>
    </w:p>
    <w:p w14:paraId="04E4B9D7" w14:textId="77777777" w:rsidR="00AF51F1" w:rsidRDefault="00AF51F1">
      <w:pPr>
        <w:pStyle w:val="09-Bodytext"/>
        <w:rPr>
          <w:color w:val="0C0C0C"/>
        </w:rPr>
      </w:pPr>
    </w:p>
    <w:p w14:paraId="55BA15DE" w14:textId="77777777" w:rsidR="00AF51F1" w:rsidRDefault="00711D3C">
      <w:pPr>
        <w:pStyle w:val="09-Bodytext"/>
      </w:pPr>
      <w:r>
        <w:rPr>
          <w:color w:val="0C0C0C"/>
          <w:w w:val="105"/>
        </w:rPr>
        <w:t>Of 976 alterations to the non-domestic valuation roll, 68% were completed within 3 months of the effective date against a target of 77% and 83% were completed within 6 months against a target of</w:t>
      </w:r>
      <w:r>
        <w:rPr>
          <w:color w:val="0C0C0C"/>
          <w:spacing w:val="-35"/>
          <w:w w:val="105"/>
        </w:rPr>
        <w:t xml:space="preserve"> </w:t>
      </w:r>
      <w:r>
        <w:rPr>
          <w:color w:val="0C0C0C"/>
          <w:w w:val="105"/>
        </w:rPr>
        <w:t xml:space="preserve">92%. </w:t>
      </w:r>
      <w:r>
        <w:t xml:space="preserve">The three monthly and </w:t>
      </w:r>
      <w:proofErr w:type="gramStart"/>
      <w:r>
        <w:t>six monthly</w:t>
      </w:r>
      <w:proofErr w:type="gramEnd"/>
      <w:r>
        <w:t xml:space="preserve"> targets were not met, essentially due to the continued challenges as a result of the pandemic and in particular the limitations on carrying out on-site surveys.</w:t>
      </w:r>
    </w:p>
    <w:p w14:paraId="5EE5B84B" w14:textId="77777777" w:rsidR="00AF51F1" w:rsidRDefault="00AF51F1">
      <w:pPr>
        <w:pStyle w:val="09-Bodytext"/>
        <w:rPr>
          <w:rFonts w:eastAsia="Arial"/>
          <w:lang w:val="en-US"/>
        </w:rPr>
      </w:pPr>
    </w:p>
    <w:p w14:paraId="2DDBFC80" w14:textId="77777777" w:rsidR="00AF51F1" w:rsidRDefault="00711D3C">
      <w:pPr>
        <w:pStyle w:val="09-Bodytext"/>
      </w:pPr>
      <w:r>
        <w:rPr>
          <w:rFonts w:eastAsia="Arial"/>
          <w:color w:val="0C0C0C"/>
          <w:w w:val="105"/>
          <w:lang w:val="en-US"/>
        </w:rPr>
        <w:t>With regards to electoral registration, within the period 2021/2022, in addition to two by-elections held in North Lanarkshire, the principal activities</w:t>
      </w:r>
      <w:r>
        <w:t xml:space="preserve"> centred on maintaining the completeness and accuracy of the registers, together with preparations for and the undertaking of the Scottish Local Government Election on 5 May 2022, the associated tasks to which were carried out successfully. </w:t>
      </w:r>
      <w:r>
        <w:br/>
      </w:r>
    </w:p>
    <w:p w14:paraId="6B727983" w14:textId="77777777" w:rsidR="00AF51F1" w:rsidRDefault="00711D3C">
      <w:pPr>
        <w:pStyle w:val="09-Bodytext"/>
      </w:pPr>
      <w:r>
        <w:t xml:space="preserve">The annual canvass of electors 2021 was subject to major reform with the introduction of The Representation of the People (Annual Canvass) (Miscellaneous Amendments) (Scotland) Regulations 2020. Under the reformed canvass, data matching was used at the outset of the canvass to help identify those properties where the residents are more likely to have changed. All Electoral Registration Officers in Great Britain were required to match specified data they hold </w:t>
      </w:r>
      <w:proofErr w:type="gramStart"/>
      <w:r>
        <w:t>on</w:t>
      </w:r>
      <w:proofErr w:type="gramEnd"/>
      <w:r>
        <w:t xml:space="preserve"> registered electors against the Department for Work and</w:t>
      </w:r>
    </w:p>
    <w:p w14:paraId="21AC8D94" w14:textId="77777777" w:rsidR="00AF51F1" w:rsidRDefault="00711D3C">
      <w:pPr>
        <w:pStyle w:val="09-Bodytext"/>
      </w:pPr>
      <w:r>
        <w:lastRenderedPageBreak/>
        <w:t xml:space="preserve">Pensions’ Customer Information System (DWP CIS) dataset. This dataset is already used in the electoral registration process to verify an applicant's identity. The household visit element of the 2021 canvass was able to proceed, with suitable precautions undertaken </w:t>
      </w:r>
      <w:proofErr w:type="gramStart"/>
      <w:r>
        <w:t>as a result of</w:t>
      </w:r>
      <w:proofErr w:type="gramEnd"/>
      <w:r>
        <w:t xml:space="preserve"> the pandemic, with circa 31,000 properties being canvassed. The canvass reforms also allowed for e-communications that included telephone and email contact. The canvass was concluded successfully, and the registers were published on 1 December 2021.</w:t>
      </w:r>
      <w:r>
        <w:rPr>
          <w:color w:val="0070C0"/>
        </w:rPr>
        <w:br/>
      </w:r>
    </w:p>
    <w:p w14:paraId="73C02B52" w14:textId="77777777" w:rsidR="00AF51F1" w:rsidRDefault="00711D3C">
      <w:r>
        <w:rPr>
          <w:rFonts w:eastAsia="Arial" w:cs="Arial"/>
          <w:color w:val="0C0C0C"/>
          <w:w w:val="105"/>
          <w:sz w:val="22"/>
          <w:szCs w:val="22"/>
          <w:lang w:val="en-US"/>
        </w:rPr>
        <w:t xml:space="preserve">More information on the Board's performance during 2021/2022 </w:t>
      </w:r>
      <w:r>
        <w:rPr>
          <w:rFonts w:eastAsia="Arial" w:cs="Arial"/>
          <w:color w:val="0C0C0C"/>
          <w:sz w:val="22"/>
          <w:szCs w:val="22"/>
          <w:lang w:val="en-US"/>
        </w:rPr>
        <w:t>can b</w:t>
      </w:r>
      <w:r>
        <w:rPr>
          <w:rFonts w:eastAsia="Arial" w:cs="Arial"/>
          <w:color w:val="0C0C0C"/>
          <w:w w:val="105"/>
          <w:sz w:val="22"/>
          <w:szCs w:val="22"/>
          <w:lang w:val="en-US"/>
        </w:rPr>
        <w:t xml:space="preserve">e found on the Board’s website at </w:t>
      </w:r>
      <w:hyperlink r:id="rId9" w:history="1">
        <w:r>
          <w:rPr>
            <w:rFonts w:eastAsia="Arial" w:cs="Arial"/>
            <w:color w:val="0000FF"/>
            <w:w w:val="105"/>
            <w:sz w:val="22"/>
            <w:szCs w:val="22"/>
            <w:u w:val="single"/>
            <w:lang w:val="en-US"/>
          </w:rPr>
          <w:t>www.lanarkshire-vjb.gov.uk</w:t>
        </w:r>
      </w:hyperlink>
    </w:p>
    <w:p w14:paraId="2E4AF0B6" w14:textId="77777777" w:rsidR="00AF51F1" w:rsidRDefault="00AF51F1">
      <w:pPr>
        <w:widowControl w:val="0"/>
        <w:autoSpaceDE w:val="0"/>
        <w:rPr>
          <w:rFonts w:eastAsia="Arial" w:cs="Arial"/>
          <w:color w:val="0C0C0C"/>
          <w:w w:val="105"/>
          <w:sz w:val="22"/>
          <w:szCs w:val="22"/>
          <w:shd w:val="clear" w:color="auto" w:fill="FFFF00"/>
          <w:lang w:val="en-US"/>
        </w:rPr>
      </w:pPr>
    </w:p>
    <w:p w14:paraId="0C013CC7" w14:textId="77777777" w:rsidR="00AF51F1" w:rsidRDefault="00711D3C">
      <w:pPr>
        <w:pStyle w:val="09-Bodytext"/>
        <w:rPr>
          <w:b/>
          <w:bCs/>
        </w:rPr>
      </w:pPr>
      <w:r>
        <w:rPr>
          <w:b/>
          <w:bCs/>
        </w:rPr>
        <w:t>Financial Performance</w:t>
      </w:r>
    </w:p>
    <w:p w14:paraId="26855CC9" w14:textId="77777777" w:rsidR="00AF51F1" w:rsidRDefault="00AF51F1">
      <w:pPr>
        <w:pStyle w:val="09-Bodytext"/>
      </w:pPr>
    </w:p>
    <w:p w14:paraId="6545513A" w14:textId="77777777" w:rsidR="00AF51F1" w:rsidRDefault="00711D3C">
      <w:pPr>
        <w:pStyle w:val="09-Bodytext"/>
        <w:rPr>
          <w:b/>
          <w:bCs/>
        </w:rPr>
      </w:pPr>
      <w:r>
        <w:rPr>
          <w:b/>
          <w:bCs/>
        </w:rPr>
        <w:t>Revenue</w:t>
      </w:r>
    </w:p>
    <w:p w14:paraId="2F49FF7A" w14:textId="7361126E" w:rsidR="00AF51F1" w:rsidRDefault="00711D3C">
      <w:pPr>
        <w:pStyle w:val="09-Bodytext"/>
      </w:pPr>
      <w:r>
        <w:t xml:space="preserve">The </w:t>
      </w:r>
      <w:bookmarkStart w:id="1" w:name="_Hlk80017216"/>
      <w:r>
        <w:t xml:space="preserve">Comprehensive Income and Expenditure Statement </w:t>
      </w:r>
      <w:bookmarkEnd w:id="1"/>
      <w:r>
        <w:t>on page 2</w:t>
      </w:r>
      <w:r w:rsidR="00CF09F9">
        <w:t>1</w:t>
      </w:r>
      <w:r>
        <w:t xml:space="preserve"> summarises the total costs of providing services and the income available to fund those services.  The Board set a net operating expenditure budget for 2021/2022 of £3.835m to be funded by contributions from the two constituent local authorities.  The budget was based on experience of expenditure and income levels during previous years and included a planned contribution from the Board’s reserves of £0.345m.  During the year, this budget was increased to include Scottish Government funding held in Reserves by South Lanarkshire Council for Postal Votes and Household Notifications.  It was also increased to reflect funding received from the Scottish Government for the implementation of the Barclay Review. This gave a final budget of £4.677m for the year.</w:t>
      </w:r>
    </w:p>
    <w:p w14:paraId="44DACA41" w14:textId="77777777" w:rsidR="00AF51F1" w:rsidRDefault="00AF51F1">
      <w:pPr>
        <w:pStyle w:val="09-Bodytext"/>
        <w:rPr>
          <w:shd w:val="clear" w:color="auto" w:fill="FFFF00"/>
        </w:rPr>
      </w:pPr>
    </w:p>
    <w:p w14:paraId="188DFEC6" w14:textId="77777777" w:rsidR="00AF51F1" w:rsidRDefault="00711D3C">
      <w:pPr>
        <w:pStyle w:val="09-Bodytext"/>
      </w:pPr>
      <w:r>
        <w:t>In comparison to this revised 2021/2022 budget, the Board returned a surplus of income over expenditure of £0.352m which, compared with the budgeted deficit of £0.307m, resulted in £0.659m of an improvement in the Board’s position.  This surplus excludes the accounting adjustments relating to pensions and short-term accumulating absences.</w:t>
      </w:r>
    </w:p>
    <w:p w14:paraId="1A73BFA2" w14:textId="77777777" w:rsidR="00AF51F1" w:rsidRDefault="00AF51F1">
      <w:pPr>
        <w:pStyle w:val="09-Bodytext"/>
      </w:pPr>
    </w:p>
    <w:p w14:paraId="658B6B30" w14:textId="41E4370A" w:rsidR="00AF51F1" w:rsidRDefault="00711D3C">
      <w:pPr>
        <w:pStyle w:val="09-Bodytext"/>
      </w:pPr>
      <w:r>
        <w:t xml:space="preserve">The Table overleaf compares the revised budget of the Board at the 31 March 2022.  The difference between the net expenditure figure overleaf and that reported in the Comprehensive Income and Expenditure Statement is due to the accounting adjustments, which are analysed in the Expenditure and Funding Analysis on page </w:t>
      </w:r>
      <w:r w:rsidR="00CF09F9">
        <w:t>20.</w:t>
      </w:r>
    </w:p>
    <w:p w14:paraId="309BF943" w14:textId="77777777" w:rsidR="00AF51F1" w:rsidRDefault="00AF51F1">
      <w:pPr>
        <w:spacing w:after="160"/>
        <w:contextualSpacing/>
        <w:rPr>
          <w:rFonts w:cs="Arial"/>
          <w:sz w:val="22"/>
          <w:szCs w:val="22"/>
          <w:shd w:val="clear" w:color="auto" w:fill="FFFF00"/>
        </w:rPr>
      </w:pPr>
    </w:p>
    <w:p w14:paraId="7ABA6AD0" w14:textId="6B711B49" w:rsidR="005351E2" w:rsidRDefault="005351E2">
      <w:pPr>
        <w:suppressAutoHyphens w:val="0"/>
        <w:rPr>
          <w:rFonts w:cs="Arial"/>
          <w:sz w:val="22"/>
          <w:szCs w:val="22"/>
          <w:shd w:val="clear" w:color="auto" w:fill="FFFF00"/>
        </w:rPr>
      </w:pPr>
      <w:r>
        <w:rPr>
          <w:rFonts w:cs="Arial"/>
          <w:sz w:val="22"/>
          <w:szCs w:val="22"/>
          <w:shd w:val="clear" w:color="auto" w:fill="FFFF00"/>
        </w:rPr>
        <w:br w:type="page"/>
      </w:r>
    </w:p>
    <w:p w14:paraId="5CA0A2D3" w14:textId="77777777" w:rsidR="00AF51F1" w:rsidRDefault="00711D3C">
      <w:pPr>
        <w:pStyle w:val="09-Bodytext"/>
        <w:rPr>
          <w:b/>
          <w:bCs/>
        </w:rPr>
      </w:pPr>
      <w:r>
        <w:rPr>
          <w:b/>
          <w:bCs/>
        </w:rPr>
        <w:lastRenderedPageBreak/>
        <w:t>Lanarkshire Valuation Joint Board Revenue Budget 2021/2022</w:t>
      </w:r>
    </w:p>
    <w:p w14:paraId="19935CD6" w14:textId="77777777" w:rsidR="00AF51F1" w:rsidRDefault="00AF51F1">
      <w:pPr>
        <w:pStyle w:val="09-Bodytext"/>
      </w:pPr>
    </w:p>
    <w:tbl>
      <w:tblPr>
        <w:tblW w:w="9016" w:type="dxa"/>
        <w:tblCellMar>
          <w:left w:w="10" w:type="dxa"/>
          <w:right w:w="10" w:type="dxa"/>
        </w:tblCellMar>
        <w:tblLook w:val="0000" w:firstRow="0" w:lastRow="0" w:firstColumn="0" w:lastColumn="0" w:noHBand="0" w:noVBand="0"/>
      </w:tblPr>
      <w:tblGrid>
        <w:gridCol w:w="4390"/>
        <w:gridCol w:w="1559"/>
        <w:gridCol w:w="1559"/>
        <w:gridCol w:w="1508"/>
      </w:tblGrid>
      <w:tr w:rsidR="00AF51F1" w14:paraId="5217ECBE" w14:textId="77777777">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D2B99" w14:textId="77777777" w:rsidR="00AF51F1" w:rsidRDefault="00AF51F1">
            <w:pPr>
              <w:pStyle w:val="09-Bodytext"/>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E6CB8" w14:textId="77777777" w:rsidR="00AF51F1" w:rsidRDefault="00711D3C">
            <w:pPr>
              <w:pStyle w:val="09-Bodytext"/>
              <w:jc w:val="right"/>
              <w:rPr>
                <w:b/>
                <w:bCs/>
              </w:rPr>
            </w:pPr>
            <w:r>
              <w:rPr>
                <w:b/>
                <w:bCs/>
              </w:rPr>
              <w:t>Budget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D840C" w14:textId="77777777" w:rsidR="00AF51F1" w:rsidRDefault="00711D3C">
            <w:pPr>
              <w:pStyle w:val="09-Bodytext"/>
              <w:jc w:val="right"/>
              <w:rPr>
                <w:b/>
                <w:bCs/>
              </w:rPr>
            </w:pPr>
            <w:r>
              <w:rPr>
                <w:b/>
                <w:bCs/>
              </w:rPr>
              <w:t xml:space="preserve">Actual </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F727D" w14:textId="77777777" w:rsidR="00AF51F1" w:rsidRDefault="00711D3C">
            <w:pPr>
              <w:pStyle w:val="09-Bodytext"/>
              <w:jc w:val="right"/>
              <w:rPr>
                <w:b/>
                <w:bCs/>
              </w:rPr>
            </w:pPr>
            <w:r>
              <w:rPr>
                <w:b/>
                <w:bCs/>
              </w:rPr>
              <w:t>Variance</w:t>
            </w:r>
          </w:p>
        </w:tc>
      </w:tr>
      <w:tr w:rsidR="00AF51F1" w14:paraId="3C688925" w14:textId="77777777">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20BDD" w14:textId="77777777" w:rsidR="00AF51F1" w:rsidRDefault="00AF51F1">
            <w:pPr>
              <w:pStyle w:val="09-Bodytext"/>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E0B21" w14:textId="77777777" w:rsidR="00AF51F1" w:rsidRDefault="00711D3C">
            <w:pPr>
              <w:pStyle w:val="09-Bodytext"/>
              <w:jc w:val="right"/>
            </w:pPr>
            <w: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DD5EA" w14:textId="77777777" w:rsidR="00AF51F1" w:rsidRDefault="00711D3C">
            <w:pPr>
              <w:pStyle w:val="09-Bodytext"/>
              <w:jc w:val="right"/>
            </w:pPr>
            <w:r>
              <w:t>£000</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4658B" w14:textId="77777777" w:rsidR="00AF51F1" w:rsidRDefault="00711D3C">
            <w:pPr>
              <w:pStyle w:val="09-Bodytext"/>
              <w:jc w:val="right"/>
            </w:pPr>
            <w:r>
              <w:t>£000</w:t>
            </w:r>
          </w:p>
        </w:tc>
      </w:tr>
      <w:tr w:rsidR="00AF51F1" w14:paraId="67FCECA7" w14:textId="77777777">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22FD4" w14:textId="77777777" w:rsidR="00AF51F1" w:rsidRDefault="00711D3C">
            <w:pPr>
              <w:pStyle w:val="09-Bodytext"/>
            </w:pPr>
            <w:r>
              <w:t>Employee Costs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19441" w14:textId="77777777" w:rsidR="00AF51F1" w:rsidRDefault="00711D3C">
            <w:pPr>
              <w:pStyle w:val="09-Bodytext"/>
              <w:jc w:val="right"/>
            </w:pPr>
            <w:r>
              <w:t>3,396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18350" w14:textId="77777777" w:rsidR="00AF51F1" w:rsidRDefault="00711D3C">
            <w:pPr>
              <w:pStyle w:val="09-Bodytext"/>
              <w:jc w:val="right"/>
            </w:pPr>
            <w:r>
              <w:t>2,850</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77E17" w14:textId="77777777" w:rsidR="00AF51F1" w:rsidRDefault="00711D3C">
            <w:pPr>
              <w:pStyle w:val="09-Bodytext"/>
              <w:jc w:val="right"/>
            </w:pPr>
            <w:r>
              <w:t>546</w:t>
            </w:r>
          </w:p>
        </w:tc>
      </w:tr>
      <w:tr w:rsidR="00AF51F1" w14:paraId="5BDD9551" w14:textId="77777777">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FBAA0" w14:textId="77777777" w:rsidR="00AF51F1" w:rsidRDefault="00711D3C">
            <w:pPr>
              <w:pStyle w:val="09-Bodytext"/>
            </w:pPr>
            <w:r>
              <w:t>Property Costs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784EA" w14:textId="77777777" w:rsidR="00AF51F1" w:rsidRDefault="00711D3C">
            <w:pPr>
              <w:pStyle w:val="09-Bodytext"/>
              <w:jc w:val="right"/>
            </w:pPr>
            <w:r>
              <w:t>206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2B0FD" w14:textId="77777777" w:rsidR="00AF51F1" w:rsidRDefault="00711D3C">
            <w:pPr>
              <w:pStyle w:val="09-Bodytext"/>
              <w:jc w:val="right"/>
            </w:pPr>
            <w:r>
              <w:t>201</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BCCBA6" w14:textId="77777777" w:rsidR="00AF51F1" w:rsidRDefault="00711D3C">
            <w:pPr>
              <w:pStyle w:val="09-Bodytext"/>
              <w:jc w:val="right"/>
            </w:pPr>
            <w:r>
              <w:t>5</w:t>
            </w:r>
          </w:p>
        </w:tc>
      </w:tr>
      <w:tr w:rsidR="00AF51F1" w14:paraId="27556473" w14:textId="77777777">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6218F" w14:textId="77777777" w:rsidR="00AF51F1" w:rsidRDefault="00711D3C">
            <w:pPr>
              <w:pStyle w:val="09-Bodytext"/>
            </w:pPr>
            <w:r>
              <w:t>Supplies and Services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262B0" w14:textId="77777777" w:rsidR="00AF51F1" w:rsidRDefault="00711D3C">
            <w:pPr>
              <w:pStyle w:val="09-Bodytext"/>
              <w:jc w:val="right"/>
            </w:pPr>
            <w:r>
              <w:t>208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0B775" w14:textId="77777777" w:rsidR="00AF51F1" w:rsidRDefault="00711D3C">
            <w:pPr>
              <w:pStyle w:val="09-Bodytext"/>
              <w:jc w:val="right"/>
            </w:pPr>
            <w:r>
              <w:t>147</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ABBDA" w14:textId="77777777" w:rsidR="00AF51F1" w:rsidRDefault="00711D3C">
            <w:pPr>
              <w:pStyle w:val="09-Bodytext"/>
              <w:jc w:val="right"/>
            </w:pPr>
            <w:r>
              <w:t>61</w:t>
            </w:r>
          </w:p>
        </w:tc>
      </w:tr>
      <w:tr w:rsidR="00AF51F1" w14:paraId="5CB6A0CC" w14:textId="77777777">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B69D8" w14:textId="77777777" w:rsidR="00AF51F1" w:rsidRDefault="00711D3C">
            <w:pPr>
              <w:pStyle w:val="09-Bodytext"/>
            </w:pPr>
            <w:r>
              <w:t>Transport and Plant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843AE" w14:textId="77777777" w:rsidR="00AF51F1" w:rsidRDefault="00711D3C">
            <w:pPr>
              <w:pStyle w:val="09-Bodytext"/>
              <w:jc w:val="right"/>
            </w:pPr>
            <w: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95D9A" w14:textId="77777777" w:rsidR="00AF51F1" w:rsidRDefault="00711D3C">
            <w:pPr>
              <w:pStyle w:val="09-Bodytext"/>
              <w:jc w:val="right"/>
            </w:pPr>
            <w:r>
              <w:t>0</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8AC4C" w14:textId="77777777" w:rsidR="00AF51F1" w:rsidRDefault="00711D3C">
            <w:pPr>
              <w:pStyle w:val="09-Bodytext"/>
              <w:jc w:val="right"/>
            </w:pPr>
            <w:r>
              <w:t>0</w:t>
            </w:r>
          </w:p>
        </w:tc>
      </w:tr>
      <w:tr w:rsidR="00AF51F1" w14:paraId="1676FC20" w14:textId="77777777">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38CFF" w14:textId="77777777" w:rsidR="00AF51F1" w:rsidRDefault="00711D3C">
            <w:pPr>
              <w:pStyle w:val="09-Bodytext"/>
            </w:pPr>
            <w:r>
              <w:t>Administration Costs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4F923" w14:textId="77777777" w:rsidR="00AF51F1" w:rsidRDefault="00711D3C">
            <w:pPr>
              <w:pStyle w:val="09-Bodytext"/>
              <w:jc w:val="right"/>
            </w:pPr>
            <w:r>
              <w:t>829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6A022" w14:textId="77777777" w:rsidR="00AF51F1" w:rsidRDefault="00711D3C">
            <w:pPr>
              <w:pStyle w:val="09-Bodytext"/>
              <w:jc w:val="right"/>
            </w:pPr>
            <w:r>
              <w:t>773</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A3244" w14:textId="77777777" w:rsidR="00AF51F1" w:rsidRDefault="00711D3C">
            <w:pPr>
              <w:pStyle w:val="09-Bodytext"/>
              <w:jc w:val="right"/>
            </w:pPr>
            <w:r>
              <w:t>56</w:t>
            </w:r>
          </w:p>
        </w:tc>
      </w:tr>
      <w:tr w:rsidR="00AF51F1" w14:paraId="32622D36" w14:textId="77777777">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30B8D" w14:textId="77777777" w:rsidR="00AF51F1" w:rsidRDefault="00711D3C">
            <w:pPr>
              <w:pStyle w:val="09-Bodytext"/>
            </w:pPr>
            <w:r>
              <w:t>Payments to Other Bodies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F00D9" w14:textId="77777777" w:rsidR="00AF51F1" w:rsidRDefault="00711D3C">
            <w:pPr>
              <w:pStyle w:val="09-Bodytext"/>
              <w:jc w:val="right"/>
            </w:pPr>
            <w:r>
              <w:t>31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02DD2" w14:textId="77777777" w:rsidR="00AF51F1" w:rsidRDefault="00711D3C">
            <w:pPr>
              <w:pStyle w:val="09-Bodytext"/>
              <w:jc w:val="right"/>
            </w:pPr>
            <w:r>
              <w:t>28</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A9279" w14:textId="77777777" w:rsidR="00AF51F1" w:rsidRDefault="00711D3C">
            <w:pPr>
              <w:pStyle w:val="09-Bodytext"/>
              <w:jc w:val="right"/>
            </w:pPr>
            <w:r>
              <w:t>3</w:t>
            </w:r>
          </w:p>
        </w:tc>
      </w:tr>
      <w:tr w:rsidR="00AF51F1" w14:paraId="03C3732D" w14:textId="77777777">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D30D4" w14:textId="77777777" w:rsidR="00AF51F1" w:rsidRDefault="00711D3C">
            <w:pPr>
              <w:pStyle w:val="09-Bodytext"/>
            </w:pPr>
            <w:r>
              <w:t>Financing Charges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72868" w14:textId="77777777" w:rsidR="00AF51F1" w:rsidRDefault="00711D3C">
            <w:pPr>
              <w:pStyle w:val="09-Bodytext"/>
              <w:jc w:val="right"/>
            </w:pPr>
            <w:r>
              <w:t>14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5ED21" w14:textId="77777777" w:rsidR="00AF51F1" w:rsidRDefault="00711D3C">
            <w:pPr>
              <w:pStyle w:val="09-Bodytext"/>
              <w:jc w:val="right"/>
            </w:pPr>
            <w:r>
              <w:t>35</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6F28B" w14:textId="77777777" w:rsidR="00AF51F1" w:rsidRDefault="00711D3C">
            <w:pPr>
              <w:pStyle w:val="09-Bodytext"/>
              <w:jc w:val="right"/>
            </w:pPr>
            <w:r>
              <w:t>(21)</w:t>
            </w:r>
          </w:p>
        </w:tc>
      </w:tr>
      <w:tr w:rsidR="00AF51F1" w14:paraId="05E7ECEC" w14:textId="77777777">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62D0E" w14:textId="77777777" w:rsidR="00AF51F1" w:rsidRDefault="00711D3C">
            <w:pPr>
              <w:pStyle w:val="09-Bodytext"/>
              <w:rPr>
                <w:b/>
                <w:bCs/>
              </w:rPr>
            </w:pPr>
            <w:r>
              <w:rPr>
                <w:b/>
                <w:bCs/>
              </w:rPr>
              <w:t>Total Expenditure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B7CA0" w14:textId="77777777" w:rsidR="00AF51F1" w:rsidRDefault="00711D3C">
            <w:pPr>
              <w:pStyle w:val="09-Bodytext"/>
              <w:jc w:val="right"/>
              <w:rPr>
                <w:b/>
                <w:bCs/>
              </w:rPr>
            </w:pPr>
            <w:r>
              <w:rPr>
                <w:b/>
                <w:bCs/>
              </w:rPr>
              <w:t>4,684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900C8" w14:textId="77777777" w:rsidR="00AF51F1" w:rsidRDefault="00711D3C">
            <w:pPr>
              <w:pStyle w:val="09-Bodytext"/>
              <w:jc w:val="right"/>
              <w:rPr>
                <w:b/>
                <w:bCs/>
              </w:rPr>
            </w:pPr>
            <w:r>
              <w:rPr>
                <w:b/>
                <w:bCs/>
              </w:rPr>
              <w:t>4,034</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FDFC2" w14:textId="77777777" w:rsidR="00AF51F1" w:rsidRDefault="00711D3C">
            <w:pPr>
              <w:pStyle w:val="09-Bodytext"/>
              <w:jc w:val="right"/>
              <w:rPr>
                <w:b/>
                <w:bCs/>
              </w:rPr>
            </w:pPr>
            <w:r>
              <w:rPr>
                <w:b/>
                <w:bCs/>
              </w:rPr>
              <w:t>650</w:t>
            </w:r>
          </w:p>
        </w:tc>
      </w:tr>
      <w:tr w:rsidR="00AF51F1" w14:paraId="5619A1FC" w14:textId="77777777">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8CC3D" w14:textId="77777777" w:rsidR="00AF51F1" w:rsidRDefault="00711D3C">
            <w:pPr>
              <w:pStyle w:val="09-Bodytext"/>
            </w:pPr>
            <w:r>
              <w:t>Income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003F9" w14:textId="77777777" w:rsidR="00AF51F1" w:rsidRDefault="00711D3C">
            <w:pPr>
              <w:pStyle w:val="09-Bodytext"/>
              <w:jc w:val="right"/>
            </w:pPr>
            <w:r>
              <w:t>(7)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529B2" w14:textId="77777777" w:rsidR="00AF51F1" w:rsidRDefault="00711D3C">
            <w:pPr>
              <w:pStyle w:val="09-Bodytext"/>
              <w:jc w:val="right"/>
            </w:pPr>
            <w:r>
              <w:t>(15)</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D5B05" w14:textId="77777777" w:rsidR="00AF51F1" w:rsidRDefault="00711D3C">
            <w:pPr>
              <w:pStyle w:val="09-Bodytext"/>
              <w:jc w:val="right"/>
            </w:pPr>
            <w:r>
              <w:t>8</w:t>
            </w:r>
          </w:p>
        </w:tc>
      </w:tr>
      <w:tr w:rsidR="00AF51F1" w14:paraId="099B35DE" w14:textId="77777777">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83237" w14:textId="77777777" w:rsidR="00AF51F1" w:rsidRDefault="00711D3C">
            <w:pPr>
              <w:pStyle w:val="09-Bodytext"/>
              <w:rPr>
                <w:b/>
                <w:bCs/>
              </w:rPr>
            </w:pPr>
            <w:r>
              <w:rPr>
                <w:b/>
                <w:bCs/>
              </w:rPr>
              <w:t>Net Expenditure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B3083" w14:textId="77777777" w:rsidR="00AF51F1" w:rsidRDefault="00711D3C">
            <w:pPr>
              <w:pStyle w:val="09-Bodytext"/>
              <w:jc w:val="right"/>
              <w:rPr>
                <w:b/>
                <w:bCs/>
              </w:rPr>
            </w:pPr>
            <w:r>
              <w:rPr>
                <w:b/>
                <w:bCs/>
              </w:rPr>
              <w:t>4,677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0E4D6" w14:textId="77777777" w:rsidR="00AF51F1" w:rsidRDefault="00711D3C">
            <w:pPr>
              <w:pStyle w:val="09-Bodytext"/>
              <w:jc w:val="right"/>
              <w:rPr>
                <w:b/>
                <w:bCs/>
              </w:rPr>
            </w:pPr>
            <w:r>
              <w:rPr>
                <w:b/>
                <w:bCs/>
              </w:rPr>
              <w:t>4,019</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7B804" w14:textId="77777777" w:rsidR="00AF51F1" w:rsidRDefault="00711D3C">
            <w:pPr>
              <w:pStyle w:val="09-Bodytext"/>
              <w:jc w:val="right"/>
              <w:rPr>
                <w:b/>
                <w:bCs/>
              </w:rPr>
            </w:pPr>
            <w:r>
              <w:rPr>
                <w:b/>
                <w:bCs/>
              </w:rPr>
              <w:t>658</w:t>
            </w:r>
          </w:p>
        </w:tc>
      </w:tr>
      <w:tr w:rsidR="00AF51F1" w14:paraId="232CBDF1" w14:textId="77777777">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E32E8" w14:textId="77777777" w:rsidR="00AF51F1" w:rsidRDefault="00711D3C">
            <w:pPr>
              <w:pStyle w:val="09-Bodytext"/>
              <w:rPr>
                <w:b/>
                <w:bCs/>
              </w:rPr>
            </w:pPr>
            <w:r>
              <w:rPr>
                <w:b/>
                <w:bCs/>
              </w:rPr>
              <w:t>Funded by:</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3BD07" w14:textId="77777777" w:rsidR="00AF51F1" w:rsidRDefault="00AF51F1">
            <w:pPr>
              <w:pStyle w:val="09-Bodytext"/>
              <w:jc w:val="right"/>
              <w:rPr>
                <w:b/>
                <w:b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7B213" w14:textId="77777777" w:rsidR="00AF51F1" w:rsidRDefault="00AF51F1">
            <w:pPr>
              <w:pStyle w:val="09-Bodytext"/>
              <w:jc w:val="right"/>
              <w:rPr>
                <w:b/>
                <w:bCs/>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7588C" w14:textId="77777777" w:rsidR="00AF51F1" w:rsidRDefault="00AF51F1">
            <w:pPr>
              <w:pStyle w:val="09-Bodytext"/>
              <w:jc w:val="right"/>
              <w:rPr>
                <w:b/>
                <w:bCs/>
              </w:rPr>
            </w:pPr>
          </w:p>
        </w:tc>
      </w:tr>
      <w:tr w:rsidR="00AF51F1" w14:paraId="32216E27" w14:textId="77777777">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F7A2E" w14:textId="77777777" w:rsidR="00AF51F1" w:rsidRDefault="00711D3C">
            <w:pPr>
              <w:pStyle w:val="09-Bodytext"/>
            </w:pPr>
            <w:r>
              <w:t>Contributions from Councils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EEFF4" w14:textId="77777777" w:rsidR="00AF51F1" w:rsidRDefault="00711D3C">
            <w:pPr>
              <w:pStyle w:val="09-Bodytext"/>
              <w:jc w:val="right"/>
            </w:pPr>
            <w:r>
              <w:t>(4,370)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85B27" w14:textId="77777777" w:rsidR="00AF51F1" w:rsidRDefault="00711D3C">
            <w:pPr>
              <w:pStyle w:val="09-Bodytext"/>
              <w:jc w:val="right"/>
            </w:pPr>
            <w:r>
              <w:t>(4,371)</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DB624" w14:textId="77777777" w:rsidR="00AF51F1" w:rsidRDefault="00711D3C">
            <w:pPr>
              <w:pStyle w:val="09-Bodytext"/>
              <w:jc w:val="right"/>
            </w:pPr>
            <w:r>
              <w:t>1</w:t>
            </w:r>
          </w:p>
        </w:tc>
      </w:tr>
      <w:tr w:rsidR="00AF51F1" w14:paraId="2BB6826A" w14:textId="77777777">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B975F" w14:textId="77777777" w:rsidR="00AF51F1" w:rsidRDefault="00711D3C">
            <w:pPr>
              <w:pStyle w:val="09-Bodytext"/>
              <w:rPr>
                <w:b/>
                <w:bCs/>
              </w:rPr>
            </w:pPr>
            <w:r>
              <w:rPr>
                <w:b/>
                <w:bCs/>
              </w:rPr>
              <w:t xml:space="preserve">Total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B031C" w14:textId="77777777" w:rsidR="00AF51F1" w:rsidRDefault="00711D3C">
            <w:pPr>
              <w:pStyle w:val="09-Bodytext"/>
              <w:jc w:val="right"/>
              <w:rPr>
                <w:b/>
                <w:bCs/>
              </w:rPr>
            </w:pPr>
            <w:r>
              <w:rPr>
                <w:b/>
                <w:bCs/>
              </w:rPr>
              <w:t>(4,370)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31CB7" w14:textId="77777777" w:rsidR="00AF51F1" w:rsidRDefault="00711D3C">
            <w:pPr>
              <w:pStyle w:val="09-Bodytext"/>
              <w:jc w:val="right"/>
              <w:rPr>
                <w:b/>
                <w:bCs/>
              </w:rPr>
            </w:pPr>
            <w:r>
              <w:rPr>
                <w:b/>
                <w:bCs/>
              </w:rPr>
              <w:t>(4,371)</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186A1" w14:textId="77777777" w:rsidR="00AF51F1" w:rsidRDefault="00711D3C">
            <w:pPr>
              <w:pStyle w:val="09-Bodytext"/>
              <w:jc w:val="right"/>
              <w:rPr>
                <w:b/>
                <w:bCs/>
              </w:rPr>
            </w:pPr>
            <w:r>
              <w:rPr>
                <w:b/>
                <w:bCs/>
              </w:rPr>
              <w:t>0</w:t>
            </w:r>
          </w:p>
        </w:tc>
      </w:tr>
      <w:tr w:rsidR="00AF51F1" w14:paraId="1C0B3C1D" w14:textId="77777777">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5F1A1" w14:textId="77777777" w:rsidR="00AF51F1" w:rsidRDefault="00AF51F1">
            <w:pPr>
              <w:pStyle w:val="09-Bodytext"/>
              <w:rPr>
                <w:b/>
                <w:b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36E27" w14:textId="77777777" w:rsidR="00AF51F1" w:rsidRDefault="00AF51F1">
            <w:pPr>
              <w:pStyle w:val="09-Bodytext"/>
              <w:jc w:val="right"/>
              <w:rPr>
                <w:b/>
                <w:b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59EA5" w14:textId="77777777" w:rsidR="00AF51F1" w:rsidRDefault="00AF51F1">
            <w:pPr>
              <w:pStyle w:val="09-Bodytext"/>
              <w:jc w:val="right"/>
              <w:rPr>
                <w:b/>
                <w:bCs/>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3D690" w14:textId="77777777" w:rsidR="00AF51F1" w:rsidRDefault="00AF51F1">
            <w:pPr>
              <w:pStyle w:val="09-Bodytext"/>
              <w:jc w:val="right"/>
              <w:rPr>
                <w:b/>
                <w:bCs/>
              </w:rPr>
            </w:pPr>
          </w:p>
        </w:tc>
      </w:tr>
      <w:tr w:rsidR="00AF51F1" w14:paraId="0B44F7F8" w14:textId="77777777">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DEA4A" w14:textId="77777777" w:rsidR="00AF51F1" w:rsidRDefault="00711D3C">
            <w:pPr>
              <w:pStyle w:val="09-Bodytext"/>
              <w:rPr>
                <w:b/>
                <w:bCs/>
              </w:rPr>
            </w:pPr>
            <w:r>
              <w:rPr>
                <w:b/>
                <w:bCs/>
              </w:rPr>
              <w:t>(Surplus) / Deficit for the Financial Year</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21D36" w14:textId="77777777" w:rsidR="00AF51F1" w:rsidRDefault="00711D3C">
            <w:pPr>
              <w:pStyle w:val="09-Bodytext"/>
              <w:jc w:val="right"/>
              <w:rPr>
                <w:b/>
                <w:bCs/>
              </w:rPr>
            </w:pPr>
            <w:r>
              <w:rPr>
                <w:b/>
                <w:bCs/>
              </w:rPr>
              <w:t>307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74BB4" w14:textId="77777777" w:rsidR="00AF51F1" w:rsidRDefault="00711D3C">
            <w:pPr>
              <w:pStyle w:val="09-Bodytext"/>
              <w:jc w:val="right"/>
              <w:rPr>
                <w:b/>
                <w:bCs/>
              </w:rPr>
            </w:pPr>
            <w:r>
              <w:rPr>
                <w:b/>
                <w:bCs/>
              </w:rPr>
              <w:t>(352)</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FFCE0" w14:textId="77777777" w:rsidR="00AF51F1" w:rsidRDefault="00711D3C">
            <w:pPr>
              <w:pStyle w:val="09-Bodytext"/>
              <w:jc w:val="right"/>
              <w:rPr>
                <w:b/>
                <w:bCs/>
              </w:rPr>
            </w:pPr>
            <w:r>
              <w:rPr>
                <w:b/>
                <w:bCs/>
              </w:rPr>
              <w:t>659</w:t>
            </w:r>
          </w:p>
        </w:tc>
      </w:tr>
    </w:tbl>
    <w:p w14:paraId="6FE9895B" w14:textId="77777777" w:rsidR="00AF51F1" w:rsidRDefault="00711D3C">
      <w:pPr>
        <w:pStyle w:val="09-Bodytext"/>
      </w:pPr>
      <w:r>
        <w:t xml:space="preserve">             </w:t>
      </w:r>
    </w:p>
    <w:p w14:paraId="6D4764F6" w14:textId="77777777" w:rsidR="00AF51F1" w:rsidRDefault="00711D3C">
      <w:pPr>
        <w:pStyle w:val="09-Bodytext"/>
      </w:pPr>
      <w:r>
        <w:t>The main underspend was in respect of employee costs.  This reflects a combination of the turnover of staff and the current level of spend in relation to the implementation of the Barclay recommendations.  Recruitment has continued (and is ongoing) for posts made vacant through staff turnover, and posts required to undertake the workload associated with the Barclay Review.</w:t>
      </w:r>
    </w:p>
    <w:p w14:paraId="66F929C6" w14:textId="77777777" w:rsidR="00AF51F1" w:rsidRDefault="00711D3C">
      <w:pPr>
        <w:pStyle w:val="09-Bodytext"/>
        <w:rPr>
          <w:b/>
          <w:bCs/>
        </w:rPr>
      </w:pPr>
      <w:r>
        <w:rPr>
          <w:b/>
          <w:bCs/>
        </w:rPr>
        <w:br/>
        <w:t>Balance Sheet</w:t>
      </w:r>
    </w:p>
    <w:p w14:paraId="7FC48D3B" w14:textId="167CAA90" w:rsidR="00AF51F1" w:rsidRDefault="00711D3C">
      <w:pPr>
        <w:pStyle w:val="09-Bodytext"/>
      </w:pPr>
      <w:r>
        <w:t xml:space="preserve">The Board’s Balance Sheet as </w:t>
      </w:r>
      <w:proofErr w:type="gramStart"/>
      <w:r>
        <w:t>at</w:t>
      </w:r>
      <w:proofErr w:type="gramEnd"/>
      <w:r>
        <w:t xml:space="preserve"> 31 March 2022 reported net assets of £2.818m compared with net liabilities of £1.017m as at 31 March 2021, a movement of £3.835m during the year.  This is mainly due to a £3.473m increase in the Board’s pension </w:t>
      </w:r>
      <w:r w:rsidRPr="00292930">
        <w:t xml:space="preserve">fund </w:t>
      </w:r>
      <w:r w:rsidR="00292930">
        <w:t>asset</w:t>
      </w:r>
      <w:r w:rsidRPr="00292930">
        <w:t xml:space="preserve"> which </w:t>
      </w:r>
      <w:r>
        <w:t>is calculated by independent actuaries as part of the Strathclyde Pension Fund.</w:t>
      </w:r>
    </w:p>
    <w:p w14:paraId="326B1DC0" w14:textId="77777777" w:rsidR="00AF51F1" w:rsidRDefault="00AF51F1">
      <w:pPr>
        <w:pStyle w:val="09-Bodytext"/>
      </w:pPr>
    </w:p>
    <w:p w14:paraId="52611867" w14:textId="6AAE843D" w:rsidR="00AF51F1" w:rsidRDefault="00711D3C">
      <w:pPr>
        <w:pStyle w:val="09-Bodytext"/>
      </w:pPr>
      <w:r>
        <w:t xml:space="preserve">Adding the surplus on the Balance Sheet as </w:t>
      </w:r>
      <w:proofErr w:type="gramStart"/>
      <w:r>
        <w:t>at</w:t>
      </w:r>
      <w:proofErr w:type="gramEnd"/>
      <w:r>
        <w:t xml:space="preserve"> 31 March 2022 (£0.352m) to the Board’s General Reserve carried forward from 2020/2021 (£1.127m), gives the Board a closing General Reserve position of £1.479m at the end of 2021/2022.  This is shown in the Expenditure and Funding Analysis on page </w:t>
      </w:r>
      <w:r w:rsidR="00CF09F9">
        <w:t>20</w:t>
      </w:r>
      <w:r>
        <w:t xml:space="preserve"> and the Movement in Reserves Statement on page 2</w:t>
      </w:r>
      <w:r w:rsidR="00CF09F9">
        <w:t>3</w:t>
      </w:r>
      <w:r>
        <w:t>.</w:t>
      </w:r>
    </w:p>
    <w:p w14:paraId="71F21675" w14:textId="77777777" w:rsidR="00AF51F1" w:rsidRDefault="00AF51F1">
      <w:pPr>
        <w:contextualSpacing/>
        <w:rPr>
          <w:rFonts w:cs="Arial"/>
          <w:b/>
          <w:sz w:val="22"/>
          <w:szCs w:val="22"/>
          <w:shd w:val="clear" w:color="auto" w:fill="FFFF00"/>
        </w:rPr>
      </w:pPr>
    </w:p>
    <w:p w14:paraId="6F548E0C" w14:textId="77777777" w:rsidR="00AF51F1" w:rsidRDefault="00711D3C">
      <w:pPr>
        <w:pStyle w:val="09-Bodytext"/>
        <w:rPr>
          <w:b/>
          <w:bCs/>
        </w:rPr>
      </w:pPr>
      <w:r>
        <w:rPr>
          <w:b/>
          <w:bCs/>
        </w:rPr>
        <w:t>Pension Fund</w:t>
      </w:r>
    </w:p>
    <w:p w14:paraId="19DA52D4" w14:textId="77777777" w:rsidR="00AF51F1" w:rsidRDefault="00711D3C">
      <w:pPr>
        <w:pStyle w:val="09-Bodytext"/>
      </w:pPr>
      <w:r>
        <w:t xml:space="preserve">The disclosure requirements for pension benefits under International Accounting Standard 19 are detailed at Note 16.  The appointed actuary assessed the Board’s share of Strathclyde Pension Fund as a net asset of £1.273m as </w:t>
      </w:r>
      <w:proofErr w:type="gramStart"/>
      <w:r>
        <w:t>at</w:t>
      </w:r>
      <w:proofErr w:type="gramEnd"/>
      <w:r>
        <w:t xml:space="preserve"> 31 March 2022, compared with a net liability of £2.200m as at 31 March 2021.  Changes in the assumptions used by the actuary when calculating the liability, including financial and demographic assumptions, resulted in a reduction in the liability, however these were partially offset by service costs and a negative return on assets. The Pension Asset shown is the result of the accounting legislation and standards and reflects the cost to the Board if all staff retired as </w:t>
      </w:r>
      <w:proofErr w:type="gramStart"/>
      <w:r>
        <w:t>at</w:t>
      </w:r>
      <w:proofErr w:type="gramEnd"/>
      <w:r>
        <w:t xml:space="preserve"> 31 March 2022.</w:t>
      </w:r>
      <w:r>
        <w:br/>
      </w:r>
    </w:p>
    <w:p w14:paraId="40C042C5" w14:textId="6DC7C9A7" w:rsidR="00AF51F1" w:rsidRDefault="00711D3C" w:rsidP="00745F68">
      <w:pPr>
        <w:pStyle w:val="09-Bodytext"/>
      </w:pPr>
      <w:r>
        <w:t xml:space="preserve">Whilst indicative of a broad position in terms of a pension </w:t>
      </w:r>
      <w:r w:rsidR="00292930">
        <w:t>asset</w:t>
      </w:r>
      <w:r>
        <w:t xml:space="preserve">, the reader should be aware of a range of factors, inherent in the figure, before drawing conclusions on such a </w:t>
      </w:r>
    </w:p>
    <w:p w14:paraId="2ACE47B9" w14:textId="4FE0D183" w:rsidR="00AF51F1" w:rsidRDefault="00711D3C">
      <w:pPr>
        <w:pStyle w:val="09-Bodytext"/>
      </w:pPr>
      <w:r>
        <w:t>significant number in the Board’s Financial Statements.  The Board is meeting pension contributions on an annual basis.  Note 16: Defined Benefit Pension Schemes on page 3</w:t>
      </w:r>
      <w:r w:rsidR="00CF09F9">
        <w:t>5</w:t>
      </w:r>
      <w:r>
        <w:t xml:space="preserve"> </w:t>
      </w:r>
      <w:r>
        <w:lastRenderedPageBreak/>
        <w:t xml:space="preserve">provides more details on pensions including the factors affecting the pension </w:t>
      </w:r>
      <w:r w:rsidR="00292930">
        <w:t>asset</w:t>
      </w:r>
      <w:r>
        <w:t xml:space="preserve"> such as assumptions about mortality, salary inflation, pension inflation and discount rates.</w:t>
      </w:r>
    </w:p>
    <w:p w14:paraId="46A25AF9" w14:textId="77777777" w:rsidR="00AF51F1" w:rsidRDefault="00AF51F1">
      <w:pPr>
        <w:contextualSpacing/>
        <w:rPr>
          <w:rFonts w:cs="Arial"/>
          <w:sz w:val="22"/>
          <w:szCs w:val="22"/>
        </w:rPr>
      </w:pPr>
    </w:p>
    <w:p w14:paraId="5D88E955" w14:textId="77777777" w:rsidR="00AF51F1" w:rsidRDefault="00711D3C">
      <w:pPr>
        <w:pStyle w:val="09-Bodytext"/>
      </w:pPr>
      <w:r>
        <w:t xml:space="preserve">The Board’s actuary has confirmed that the IAS19 Balance Sheet is based on financial market values and future market expectation indicators as </w:t>
      </w:r>
      <w:proofErr w:type="gramStart"/>
      <w:r>
        <w:t>at</w:t>
      </w:r>
      <w:proofErr w:type="gramEnd"/>
      <w:r>
        <w:t xml:space="preserve"> 31 March 2022 to comply with the standard. The financial markets at the accounting date will have </w:t>
      </w:r>
      <w:proofErr w:type="gramStart"/>
      <w:r>
        <w:t>taken into account</w:t>
      </w:r>
      <w:proofErr w:type="gramEnd"/>
      <w:r>
        <w:t xml:space="preserve"> COVID19 risks as one of many national and worldwide economic considerations. </w:t>
      </w:r>
    </w:p>
    <w:p w14:paraId="686C4AC7" w14:textId="77777777" w:rsidR="00AF51F1" w:rsidRDefault="00AF51F1">
      <w:pPr>
        <w:contextualSpacing/>
        <w:rPr>
          <w:rFonts w:cs="Arial"/>
          <w:b/>
          <w:sz w:val="22"/>
          <w:szCs w:val="22"/>
          <w:shd w:val="clear" w:color="auto" w:fill="FFFF00"/>
        </w:rPr>
      </w:pPr>
    </w:p>
    <w:p w14:paraId="1D7D9986" w14:textId="77777777" w:rsidR="00AF51F1" w:rsidRDefault="00711D3C">
      <w:pPr>
        <w:pStyle w:val="09-Bodytext"/>
        <w:rPr>
          <w:b/>
          <w:bCs/>
        </w:rPr>
      </w:pPr>
      <w:r>
        <w:rPr>
          <w:b/>
          <w:bCs/>
        </w:rPr>
        <w:t xml:space="preserve">Provisions, </w:t>
      </w:r>
      <w:proofErr w:type="gramStart"/>
      <w:r>
        <w:rPr>
          <w:b/>
          <w:bCs/>
        </w:rPr>
        <w:t>contingencies</w:t>
      </w:r>
      <w:proofErr w:type="gramEnd"/>
      <w:r>
        <w:rPr>
          <w:b/>
          <w:bCs/>
        </w:rPr>
        <w:t xml:space="preserve"> and write-offs</w:t>
      </w:r>
    </w:p>
    <w:p w14:paraId="76776C5D" w14:textId="77777777" w:rsidR="00AF51F1" w:rsidRDefault="00711D3C">
      <w:pPr>
        <w:pStyle w:val="09-Bodytext"/>
      </w:pPr>
      <w:r>
        <w:t xml:space="preserve">The Board is not aware of any eventualities which may have a material effect on its financial position and has therefore made no provision for such eventualities.  Contingent assets and liabilities are disclosed as a note to the financial statements.  No debts were written off during the financial year. </w:t>
      </w:r>
    </w:p>
    <w:p w14:paraId="5E851EF3" w14:textId="77777777" w:rsidR="00AF51F1" w:rsidRDefault="00AF51F1">
      <w:pPr>
        <w:contextualSpacing/>
        <w:rPr>
          <w:rFonts w:cs="Arial"/>
          <w:i/>
          <w:sz w:val="22"/>
          <w:szCs w:val="22"/>
          <w:shd w:val="clear" w:color="auto" w:fill="FFFF00"/>
        </w:rPr>
      </w:pPr>
    </w:p>
    <w:p w14:paraId="34013129" w14:textId="77777777" w:rsidR="00AF51F1" w:rsidRDefault="00711D3C">
      <w:pPr>
        <w:pStyle w:val="09-Bodytext"/>
        <w:rPr>
          <w:b/>
          <w:bCs/>
        </w:rPr>
      </w:pPr>
      <w:r>
        <w:rPr>
          <w:b/>
          <w:bCs/>
        </w:rPr>
        <w:t xml:space="preserve">Service Changes and Future Developments </w:t>
      </w:r>
    </w:p>
    <w:p w14:paraId="2CC7C66A" w14:textId="77777777" w:rsidR="00AF51F1" w:rsidRDefault="00711D3C">
      <w:pPr>
        <w:pStyle w:val="09-Bodytext"/>
      </w:pPr>
      <w:r>
        <w:t>The Board approved LVJB’s Service Plan at its meeting of March 2022. An update on the service plan is provided annually to the Board. Future developments are anticipated in the following service areas:</w:t>
      </w:r>
    </w:p>
    <w:p w14:paraId="0713A628" w14:textId="77777777" w:rsidR="00AF51F1" w:rsidRDefault="00AF51F1">
      <w:pPr>
        <w:pStyle w:val="09-Bodytext"/>
        <w:rPr>
          <w:rFonts w:eastAsia="Arial" w:cs="Arial"/>
          <w:szCs w:val="22"/>
          <w:lang w:val="en-US"/>
        </w:rPr>
      </w:pPr>
    </w:p>
    <w:p w14:paraId="17D9F140" w14:textId="77777777" w:rsidR="00AF51F1" w:rsidRDefault="00711D3C">
      <w:pPr>
        <w:pStyle w:val="09-Bodytext"/>
        <w:rPr>
          <w:b/>
          <w:bCs/>
        </w:rPr>
      </w:pPr>
      <w:r>
        <w:rPr>
          <w:b/>
          <w:bCs/>
        </w:rPr>
        <w:t>Electoral Registration</w:t>
      </w:r>
    </w:p>
    <w:p w14:paraId="1F08D7E1" w14:textId="77777777" w:rsidR="00AF51F1" w:rsidRDefault="00711D3C">
      <w:pPr>
        <w:pStyle w:val="09-Bodytext"/>
      </w:pPr>
      <w:r>
        <w:t xml:space="preserve">Following the Local Government Election, preparatory work will commence for the annual canvass of electors 2022 with principal work again focusing on maintaining the electoral registers. It is expected that </w:t>
      </w:r>
      <w:proofErr w:type="gramStart"/>
      <w:r>
        <w:t>a number of</w:t>
      </w:r>
      <w:proofErr w:type="gramEnd"/>
      <w:r>
        <w:t xml:space="preserve"> by-elections will take place within the period 2022/23, and any legislative changes which impact on the workload of our electoral service delivery area – in particular connected with the Elections Act 2022 - will be actively monitored.</w:t>
      </w:r>
    </w:p>
    <w:p w14:paraId="314E8BFC" w14:textId="77777777" w:rsidR="00AF51F1" w:rsidRDefault="00AF51F1">
      <w:pPr>
        <w:pStyle w:val="09-Bodytext"/>
      </w:pPr>
    </w:p>
    <w:p w14:paraId="2D5D13B2" w14:textId="77777777" w:rsidR="00AF51F1" w:rsidRDefault="00711D3C">
      <w:pPr>
        <w:pStyle w:val="09-Bodytext"/>
        <w:rPr>
          <w:b/>
          <w:bCs/>
        </w:rPr>
      </w:pPr>
      <w:r>
        <w:rPr>
          <w:b/>
          <w:bCs/>
        </w:rPr>
        <w:t>Valuation</w:t>
      </w:r>
    </w:p>
    <w:p w14:paraId="66C962A3" w14:textId="77777777" w:rsidR="00AF51F1" w:rsidRDefault="00711D3C">
      <w:pPr>
        <w:pStyle w:val="09-Bodytext"/>
      </w:pPr>
      <w:r>
        <w:t>Preparatory work associated with implementing the Non-Domestic Rates (Scotland) Act 2020, which came into force on 11 March 2020, will continue into the period 2022/23. A draft valuation roll will be published late in 2022, with the new valuation roll coming into effect on 1 April 2023; a non-domestic revaluation is a significant, resource intensive undertaking which will form a major part of the workload for our organisation over the coming period. With 2017 non-domestic revaluation appeals, those at the Lands Tribunal for Scotland apart, now disposed of in accordance with statutory disposal timescales (31 December 2021 for 2017), work will also continue with maintaining the valuation roll and disposing of running roll appeals where possible (further consideration of the voluminous levels of appeals received as a result of the pandemic will be undertaken once proposed legislation in connection with such appeals is made by the Scottish Government).</w:t>
      </w:r>
    </w:p>
    <w:p w14:paraId="56D9F249" w14:textId="77777777" w:rsidR="00AF51F1" w:rsidRDefault="00AF51F1">
      <w:pPr>
        <w:pStyle w:val="09-Bodytext"/>
      </w:pPr>
    </w:p>
    <w:p w14:paraId="0230CA04" w14:textId="798AB5F5" w:rsidR="00AF51F1" w:rsidRDefault="00711D3C">
      <w:pPr>
        <w:pStyle w:val="09-Bodytext"/>
      </w:pPr>
      <w:r>
        <w:t>In respect of Council Tax, work will continue with maintaining the Valuation List, entering new houses on the List as efficiently as possible.</w:t>
      </w:r>
    </w:p>
    <w:p w14:paraId="59737D9A" w14:textId="77777777" w:rsidR="00292930" w:rsidRDefault="00292930">
      <w:pPr>
        <w:pStyle w:val="09-Bodytext"/>
      </w:pPr>
    </w:p>
    <w:p w14:paraId="1F034300" w14:textId="77777777" w:rsidR="00AF51F1" w:rsidRDefault="00711D3C">
      <w:pPr>
        <w:widowControl w:val="0"/>
        <w:autoSpaceDE w:val="0"/>
        <w:spacing w:after="120"/>
      </w:pPr>
      <w:r>
        <w:rPr>
          <w:rFonts w:eastAsia="Arial" w:cs="Arial"/>
          <w:color w:val="0A0A0A"/>
          <w:w w:val="105"/>
          <w:sz w:val="22"/>
          <w:szCs w:val="22"/>
          <w:lang w:val="en-US"/>
        </w:rPr>
        <w:t xml:space="preserve">With revised ways of working now somewhat established having undertaken a period of business process re-engineering, essentially </w:t>
      </w:r>
      <w:proofErr w:type="gramStart"/>
      <w:r>
        <w:rPr>
          <w:rFonts w:eastAsia="Arial" w:cs="Arial"/>
          <w:color w:val="0A0A0A"/>
          <w:w w:val="105"/>
          <w:sz w:val="22"/>
          <w:szCs w:val="22"/>
          <w:lang w:val="en-US"/>
        </w:rPr>
        <w:t>as a result of</w:t>
      </w:r>
      <w:proofErr w:type="gramEnd"/>
      <w:r>
        <w:rPr>
          <w:rFonts w:eastAsia="Arial" w:cs="Arial"/>
          <w:color w:val="0A0A0A"/>
          <w:w w:val="105"/>
          <w:sz w:val="22"/>
          <w:szCs w:val="22"/>
          <w:lang w:val="en-US"/>
        </w:rPr>
        <w:t xml:space="preserve"> the pandemic - together with the resumption of site visits where deemed appropriate - it is envisaged that alterations to the valuation roll should be once again undertaken in line with targets, and that </w:t>
      </w:r>
      <w:r>
        <w:rPr>
          <w:color w:val="0A0A0A"/>
          <w:sz w:val="22"/>
          <w:szCs w:val="22"/>
          <w:lang w:val="en-US"/>
        </w:rPr>
        <w:t>entering new houses in the valuation list should continue to be in line with targets also</w:t>
      </w:r>
      <w:r>
        <w:rPr>
          <w:rFonts w:eastAsia="Arial" w:cs="Arial"/>
          <w:color w:val="0A0A0A"/>
          <w:w w:val="105"/>
          <w:sz w:val="22"/>
          <w:szCs w:val="22"/>
          <w:lang w:val="en-US"/>
        </w:rPr>
        <w:t>.</w:t>
      </w:r>
    </w:p>
    <w:p w14:paraId="5B2E2BBE" w14:textId="77777777" w:rsidR="00AF51F1" w:rsidRDefault="00AF51F1">
      <w:pPr>
        <w:widowControl w:val="0"/>
        <w:autoSpaceDE w:val="0"/>
        <w:ind w:right="361" w:hanging="8"/>
        <w:rPr>
          <w:rFonts w:eastAsia="Arial" w:cs="Arial"/>
          <w:color w:val="0A0A0A"/>
          <w:w w:val="105"/>
          <w:sz w:val="22"/>
          <w:szCs w:val="22"/>
          <w:lang w:val="en-US"/>
        </w:rPr>
      </w:pPr>
    </w:p>
    <w:p w14:paraId="15510293" w14:textId="77777777" w:rsidR="00AF51F1" w:rsidRDefault="00711D3C">
      <w:pPr>
        <w:rPr>
          <w:b/>
          <w:bCs/>
          <w:color w:val="0A0A0A"/>
          <w:sz w:val="22"/>
          <w:szCs w:val="22"/>
        </w:rPr>
      </w:pPr>
      <w:r>
        <w:rPr>
          <w:b/>
          <w:bCs/>
          <w:color w:val="0A0A0A"/>
          <w:sz w:val="22"/>
          <w:szCs w:val="22"/>
        </w:rPr>
        <w:t>Financial Outlook</w:t>
      </w:r>
    </w:p>
    <w:p w14:paraId="5FDC801E" w14:textId="77777777" w:rsidR="00AF51F1" w:rsidRDefault="00711D3C">
      <w:pPr>
        <w:rPr>
          <w:color w:val="0A0A0A"/>
          <w:sz w:val="22"/>
          <w:szCs w:val="22"/>
        </w:rPr>
      </w:pPr>
      <w:r>
        <w:rPr>
          <w:color w:val="0A0A0A"/>
          <w:sz w:val="22"/>
          <w:szCs w:val="22"/>
        </w:rPr>
        <w:t xml:space="preserve">Most economic commentators forecast that pressures on public finances will continue for the foreseeable future.  The Board recognises the impact of this difficult financial climate on its constituent authorities and </w:t>
      </w:r>
      <w:proofErr w:type="gramStart"/>
      <w:r>
        <w:rPr>
          <w:color w:val="0A0A0A"/>
          <w:sz w:val="22"/>
          <w:szCs w:val="22"/>
        </w:rPr>
        <w:t>as a consequence</w:t>
      </w:r>
      <w:proofErr w:type="gramEnd"/>
      <w:r>
        <w:rPr>
          <w:color w:val="0A0A0A"/>
          <w:sz w:val="22"/>
          <w:szCs w:val="22"/>
        </w:rPr>
        <w:t xml:space="preserve"> it continues to seek to generate efficiencies where possible.  A previous Financial Budget Strategy to 2023/24 was approved in June </w:t>
      </w:r>
      <w:r>
        <w:rPr>
          <w:color w:val="0A0A0A"/>
          <w:sz w:val="22"/>
          <w:szCs w:val="22"/>
        </w:rPr>
        <w:lastRenderedPageBreak/>
        <w:t xml:space="preserve">2019.  This has been updated in June 2022 to refresh the Strategy and to extend the timeframe to 2025/2026.  The Financial Strategy assists in managing </w:t>
      </w:r>
      <w:proofErr w:type="gramStart"/>
      <w:r>
        <w:rPr>
          <w:color w:val="0A0A0A"/>
          <w:sz w:val="22"/>
          <w:szCs w:val="22"/>
        </w:rPr>
        <w:t>a number of</w:t>
      </w:r>
      <w:proofErr w:type="gramEnd"/>
      <w:r>
        <w:rPr>
          <w:color w:val="0A0A0A"/>
          <w:sz w:val="22"/>
          <w:szCs w:val="22"/>
        </w:rPr>
        <w:t xml:space="preserve"> key risks which directly impact on the funding available to deliver the Board’s objectives.  It also identifies a future strategy in respect of financial reserves.  The Board’s Strategy will continue to be revised annually, with consideration given to any changes in the financial </w:t>
      </w:r>
      <w:proofErr w:type="gramStart"/>
      <w:r>
        <w:rPr>
          <w:color w:val="0A0A0A"/>
          <w:sz w:val="22"/>
          <w:szCs w:val="22"/>
        </w:rPr>
        <w:t>horizon, and</w:t>
      </w:r>
      <w:proofErr w:type="gramEnd"/>
      <w:r>
        <w:rPr>
          <w:color w:val="0A0A0A"/>
          <w:sz w:val="22"/>
          <w:szCs w:val="22"/>
        </w:rPr>
        <w:t xml:space="preserve"> will be presented to the Board.</w:t>
      </w:r>
    </w:p>
    <w:p w14:paraId="292BDA03" w14:textId="77777777" w:rsidR="00AF51F1" w:rsidRDefault="00AF51F1">
      <w:pPr>
        <w:rPr>
          <w:color w:val="0A0A0A"/>
          <w:sz w:val="22"/>
          <w:szCs w:val="22"/>
        </w:rPr>
      </w:pPr>
    </w:p>
    <w:p w14:paraId="12577A23" w14:textId="77777777" w:rsidR="00AF51F1" w:rsidRPr="00001F83" w:rsidRDefault="00711D3C">
      <w:pPr>
        <w:rPr>
          <w:color w:val="0A0A0A"/>
          <w:sz w:val="22"/>
          <w:szCs w:val="22"/>
        </w:rPr>
      </w:pPr>
      <w:r w:rsidRPr="00001F83">
        <w:rPr>
          <w:color w:val="0A0A0A"/>
          <w:sz w:val="22"/>
          <w:szCs w:val="22"/>
        </w:rPr>
        <w:t xml:space="preserve">The Budget for 2022/2023 itself was refreshed in June 2022, and now includes the Barclay funding notified for the year.  The expenditure budget totals £4.265 million and is funded by contributions from councils (including the Barclay allocations) and the use of Reserves (£0.060 million).  </w:t>
      </w:r>
    </w:p>
    <w:p w14:paraId="40F54A69" w14:textId="77777777" w:rsidR="00AF51F1" w:rsidRPr="00001F83" w:rsidRDefault="00AF51F1">
      <w:pPr>
        <w:pStyle w:val="L2"/>
        <w:tabs>
          <w:tab w:val="clear" w:pos="720"/>
        </w:tabs>
        <w:ind w:left="0" w:firstLine="0"/>
        <w:rPr>
          <w:color w:val="0A0A0A"/>
          <w:sz w:val="22"/>
          <w:szCs w:val="22"/>
        </w:rPr>
      </w:pPr>
    </w:p>
    <w:p w14:paraId="1D3472BE" w14:textId="77777777" w:rsidR="00AF51F1" w:rsidRPr="00001F83" w:rsidRDefault="00711D3C">
      <w:pPr>
        <w:pStyle w:val="L2"/>
        <w:tabs>
          <w:tab w:val="clear" w:pos="720"/>
        </w:tabs>
        <w:ind w:left="0" w:firstLine="0"/>
        <w:rPr>
          <w:color w:val="0A0A0A"/>
          <w:sz w:val="22"/>
          <w:szCs w:val="22"/>
        </w:rPr>
      </w:pPr>
      <w:proofErr w:type="gramStart"/>
      <w:r w:rsidRPr="00001F83">
        <w:rPr>
          <w:color w:val="0A0A0A"/>
          <w:sz w:val="22"/>
          <w:szCs w:val="22"/>
        </w:rPr>
        <w:t>Taking into account</w:t>
      </w:r>
      <w:proofErr w:type="gramEnd"/>
      <w:r w:rsidRPr="00001F83">
        <w:rPr>
          <w:color w:val="0A0A0A"/>
          <w:sz w:val="22"/>
          <w:szCs w:val="22"/>
        </w:rPr>
        <w:t xml:space="preserve"> the use of £0.060 million in 2022/2023 will leave £1.419 million in Reserves for future years.  This equates to 33% of the Board’s annual budget for 2022/2023.  </w:t>
      </w:r>
    </w:p>
    <w:p w14:paraId="00229947" w14:textId="77777777" w:rsidR="00AF51F1" w:rsidRPr="00001F83" w:rsidRDefault="00AF51F1">
      <w:pPr>
        <w:autoSpaceDE w:val="0"/>
        <w:ind w:right="2" w:hanging="7"/>
        <w:rPr>
          <w:color w:val="0A0A0A"/>
          <w:sz w:val="22"/>
          <w:szCs w:val="22"/>
        </w:rPr>
      </w:pPr>
    </w:p>
    <w:p w14:paraId="4A5ED963" w14:textId="77777777" w:rsidR="00AF51F1" w:rsidRPr="00001F83" w:rsidRDefault="00711D3C">
      <w:pPr>
        <w:pStyle w:val="L2"/>
        <w:tabs>
          <w:tab w:val="clear" w:pos="720"/>
        </w:tabs>
        <w:ind w:left="0" w:firstLine="0"/>
        <w:rPr>
          <w:color w:val="0A0A0A"/>
          <w:sz w:val="22"/>
          <w:szCs w:val="22"/>
        </w:rPr>
      </w:pPr>
      <w:r w:rsidRPr="00001F83">
        <w:rPr>
          <w:color w:val="0A0A0A"/>
          <w:sz w:val="22"/>
          <w:szCs w:val="22"/>
        </w:rPr>
        <w:t>The Table below summarises the impact on Reserves across the 3 years of the Strategy leaving a balance of £0.502 million at the end of 2025/2026.</w:t>
      </w:r>
    </w:p>
    <w:p w14:paraId="33C68555" w14:textId="77777777" w:rsidR="00AF51F1" w:rsidRPr="00001F83" w:rsidRDefault="00AF51F1">
      <w:pPr>
        <w:ind w:left="720" w:hanging="720"/>
        <w:rPr>
          <w:color w:val="0A0A0A"/>
          <w:sz w:val="22"/>
          <w:szCs w:val="22"/>
        </w:rPr>
      </w:pPr>
    </w:p>
    <w:p w14:paraId="61F5D1FD" w14:textId="77777777" w:rsidR="00AF51F1" w:rsidRPr="00001F83" w:rsidRDefault="00711D3C">
      <w:pPr>
        <w:rPr>
          <w:b/>
          <w:bCs/>
          <w:color w:val="0A0A0A"/>
          <w:sz w:val="22"/>
          <w:szCs w:val="22"/>
        </w:rPr>
      </w:pPr>
      <w:r w:rsidRPr="00001F83">
        <w:rPr>
          <w:b/>
          <w:bCs/>
          <w:color w:val="0A0A0A"/>
          <w:sz w:val="22"/>
          <w:szCs w:val="22"/>
        </w:rPr>
        <w:t>Reserves Forecast and Strategy</w:t>
      </w:r>
    </w:p>
    <w:tbl>
      <w:tblPr>
        <w:tblW w:w="8831" w:type="dxa"/>
        <w:jc w:val="center"/>
        <w:tblLayout w:type="fixed"/>
        <w:tblCellMar>
          <w:left w:w="10" w:type="dxa"/>
          <w:right w:w="10" w:type="dxa"/>
        </w:tblCellMar>
        <w:tblLook w:val="0000" w:firstRow="0" w:lastRow="0" w:firstColumn="0" w:lastColumn="0" w:noHBand="0" w:noVBand="0"/>
      </w:tblPr>
      <w:tblGrid>
        <w:gridCol w:w="4068"/>
        <w:gridCol w:w="1190"/>
        <w:gridCol w:w="1191"/>
        <w:gridCol w:w="1191"/>
        <w:gridCol w:w="1191"/>
      </w:tblGrid>
      <w:tr w:rsidR="00AF51F1" w:rsidRPr="00001F83" w14:paraId="53F44945" w14:textId="77777777">
        <w:trPr>
          <w:jc w:val="center"/>
        </w:trPr>
        <w:tc>
          <w:tcPr>
            <w:tcW w:w="4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5B505" w14:textId="77777777" w:rsidR="00AF51F1" w:rsidRPr="00001F83" w:rsidRDefault="00AF51F1">
            <w:pPr>
              <w:rPr>
                <w:color w:val="0A0A0A"/>
                <w:sz w:val="22"/>
                <w:szCs w:val="22"/>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E600D" w14:textId="77777777" w:rsidR="00AF51F1" w:rsidRPr="00001F83" w:rsidRDefault="00711D3C">
            <w:pPr>
              <w:jc w:val="center"/>
              <w:rPr>
                <w:color w:val="0A0A0A"/>
                <w:sz w:val="22"/>
                <w:szCs w:val="22"/>
              </w:rPr>
            </w:pPr>
            <w:r w:rsidRPr="00001F83">
              <w:rPr>
                <w:color w:val="0A0A0A"/>
                <w:sz w:val="22"/>
                <w:szCs w:val="22"/>
              </w:rPr>
              <w:t>2022/23</w:t>
            </w:r>
          </w:p>
          <w:p w14:paraId="3D37A764" w14:textId="77777777" w:rsidR="00AF51F1" w:rsidRPr="00001F83" w:rsidRDefault="00711D3C">
            <w:pPr>
              <w:jc w:val="center"/>
              <w:rPr>
                <w:color w:val="0A0A0A"/>
                <w:sz w:val="22"/>
                <w:szCs w:val="22"/>
              </w:rPr>
            </w:pPr>
            <w:r w:rsidRPr="00001F83">
              <w:rPr>
                <w:color w:val="0A0A0A"/>
                <w:sz w:val="22"/>
                <w:szCs w:val="22"/>
              </w:rPr>
              <w:t>(</w:t>
            </w:r>
            <w:proofErr w:type="gramStart"/>
            <w:r w:rsidRPr="00001F83">
              <w:rPr>
                <w:color w:val="0A0A0A"/>
                <w:sz w:val="22"/>
                <w:szCs w:val="22"/>
              </w:rPr>
              <w:t>year</w:t>
            </w:r>
            <w:proofErr w:type="gramEnd"/>
            <w:r w:rsidRPr="00001F83">
              <w:rPr>
                <w:color w:val="0A0A0A"/>
                <w:sz w:val="22"/>
                <w:szCs w:val="22"/>
              </w:rPr>
              <w:t xml:space="preserve"> 0)</w:t>
            </w:r>
          </w:p>
          <w:p w14:paraId="1B1D8AE9" w14:textId="77777777" w:rsidR="00AF51F1" w:rsidRPr="00001F83" w:rsidRDefault="00711D3C">
            <w:pPr>
              <w:jc w:val="center"/>
              <w:rPr>
                <w:color w:val="0A0A0A"/>
                <w:sz w:val="22"/>
                <w:szCs w:val="22"/>
              </w:rPr>
            </w:pPr>
            <w:r w:rsidRPr="00001F83">
              <w:rPr>
                <w:color w:val="0A0A0A"/>
                <w:sz w:val="22"/>
                <w:szCs w:val="22"/>
              </w:rPr>
              <w:t>£m</w:t>
            </w: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6CF7B" w14:textId="77777777" w:rsidR="00AF51F1" w:rsidRPr="00001F83" w:rsidRDefault="00711D3C">
            <w:pPr>
              <w:jc w:val="center"/>
              <w:rPr>
                <w:color w:val="0A0A0A"/>
                <w:sz w:val="22"/>
                <w:szCs w:val="22"/>
              </w:rPr>
            </w:pPr>
            <w:r w:rsidRPr="00001F83">
              <w:rPr>
                <w:color w:val="0A0A0A"/>
                <w:sz w:val="22"/>
                <w:szCs w:val="22"/>
              </w:rPr>
              <w:t>2023/24</w:t>
            </w:r>
          </w:p>
          <w:p w14:paraId="1E327C6D" w14:textId="77777777" w:rsidR="00AF51F1" w:rsidRPr="00001F83" w:rsidRDefault="00711D3C">
            <w:pPr>
              <w:jc w:val="center"/>
              <w:rPr>
                <w:color w:val="0A0A0A"/>
                <w:sz w:val="22"/>
                <w:szCs w:val="22"/>
              </w:rPr>
            </w:pPr>
            <w:r w:rsidRPr="00001F83">
              <w:rPr>
                <w:color w:val="0A0A0A"/>
                <w:sz w:val="22"/>
                <w:szCs w:val="22"/>
              </w:rPr>
              <w:t>(</w:t>
            </w:r>
            <w:proofErr w:type="gramStart"/>
            <w:r w:rsidRPr="00001F83">
              <w:rPr>
                <w:color w:val="0A0A0A"/>
                <w:sz w:val="22"/>
                <w:szCs w:val="22"/>
              </w:rPr>
              <w:t>year</w:t>
            </w:r>
            <w:proofErr w:type="gramEnd"/>
            <w:r w:rsidRPr="00001F83">
              <w:rPr>
                <w:color w:val="0A0A0A"/>
                <w:sz w:val="22"/>
                <w:szCs w:val="22"/>
              </w:rPr>
              <w:t xml:space="preserve"> 1)</w:t>
            </w:r>
          </w:p>
          <w:p w14:paraId="11DC13CE" w14:textId="77777777" w:rsidR="00AF51F1" w:rsidRPr="00001F83" w:rsidRDefault="00711D3C">
            <w:pPr>
              <w:jc w:val="center"/>
              <w:rPr>
                <w:color w:val="0A0A0A"/>
                <w:sz w:val="22"/>
                <w:szCs w:val="22"/>
              </w:rPr>
            </w:pPr>
            <w:r w:rsidRPr="00001F83">
              <w:rPr>
                <w:color w:val="0A0A0A"/>
                <w:sz w:val="22"/>
                <w:szCs w:val="22"/>
              </w:rPr>
              <w:t>£m</w:t>
            </w: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06DC6" w14:textId="77777777" w:rsidR="00AF51F1" w:rsidRPr="00001F83" w:rsidRDefault="00711D3C">
            <w:pPr>
              <w:jc w:val="center"/>
              <w:rPr>
                <w:color w:val="0A0A0A"/>
                <w:sz w:val="22"/>
                <w:szCs w:val="22"/>
              </w:rPr>
            </w:pPr>
            <w:r w:rsidRPr="00001F83">
              <w:rPr>
                <w:color w:val="0A0A0A"/>
                <w:sz w:val="22"/>
                <w:szCs w:val="22"/>
              </w:rPr>
              <w:t>2024/25</w:t>
            </w:r>
          </w:p>
          <w:p w14:paraId="1CB017A7" w14:textId="77777777" w:rsidR="00AF51F1" w:rsidRPr="00001F83" w:rsidRDefault="00711D3C">
            <w:pPr>
              <w:jc w:val="center"/>
              <w:rPr>
                <w:color w:val="0A0A0A"/>
                <w:sz w:val="22"/>
                <w:szCs w:val="22"/>
              </w:rPr>
            </w:pPr>
            <w:r w:rsidRPr="00001F83">
              <w:rPr>
                <w:color w:val="0A0A0A"/>
                <w:sz w:val="22"/>
                <w:szCs w:val="22"/>
              </w:rPr>
              <w:t>(</w:t>
            </w:r>
            <w:proofErr w:type="gramStart"/>
            <w:r w:rsidRPr="00001F83">
              <w:rPr>
                <w:color w:val="0A0A0A"/>
                <w:sz w:val="22"/>
                <w:szCs w:val="22"/>
              </w:rPr>
              <w:t>year</w:t>
            </w:r>
            <w:proofErr w:type="gramEnd"/>
            <w:r w:rsidRPr="00001F83">
              <w:rPr>
                <w:color w:val="0A0A0A"/>
                <w:sz w:val="22"/>
                <w:szCs w:val="22"/>
              </w:rPr>
              <w:t xml:space="preserve"> 2)</w:t>
            </w:r>
          </w:p>
          <w:p w14:paraId="2A882987" w14:textId="77777777" w:rsidR="00AF51F1" w:rsidRPr="00001F83" w:rsidRDefault="00711D3C">
            <w:pPr>
              <w:jc w:val="center"/>
              <w:rPr>
                <w:color w:val="0A0A0A"/>
                <w:sz w:val="22"/>
                <w:szCs w:val="22"/>
              </w:rPr>
            </w:pPr>
            <w:r w:rsidRPr="00001F83">
              <w:rPr>
                <w:color w:val="0A0A0A"/>
                <w:sz w:val="22"/>
                <w:szCs w:val="22"/>
              </w:rPr>
              <w:t>£m</w:t>
            </w: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DDAF0" w14:textId="77777777" w:rsidR="00AF51F1" w:rsidRPr="00001F83" w:rsidRDefault="00711D3C">
            <w:pPr>
              <w:jc w:val="center"/>
              <w:rPr>
                <w:color w:val="0A0A0A"/>
                <w:sz w:val="22"/>
                <w:szCs w:val="22"/>
              </w:rPr>
            </w:pPr>
            <w:r w:rsidRPr="00001F83">
              <w:rPr>
                <w:color w:val="0A0A0A"/>
                <w:sz w:val="22"/>
                <w:szCs w:val="22"/>
              </w:rPr>
              <w:t>2025/26</w:t>
            </w:r>
          </w:p>
          <w:p w14:paraId="5CB4FA2F" w14:textId="77777777" w:rsidR="00AF51F1" w:rsidRPr="00001F83" w:rsidRDefault="00711D3C">
            <w:pPr>
              <w:jc w:val="center"/>
              <w:rPr>
                <w:color w:val="0A0A0A"/>
                <w:sz w:val="22"/>
                <w:szCs w:val="22"/>
              </w:rPr>
            </w:pPr>
            <w:r w:rsidRPr="00001F83">
              <w:rPr>
                <w:color w:val="0A0A0A"/>
                <w:sz w:val="22"/>
                <w:szCs w:val="22"/>
              </w:rPr>
              <w:t>(</w:t>
            </w:r>
            <w:proofErr w:type="gramStart"/>
            <w:r w:rsidRPr="00001F83">
              <w:rPr>
                <w:color w:val="0A0A0A"/>
                <w:sz w:val="22"/>
                <w:szCs w:val="22"/>
              </w:rPr>
              <w:t>year</w:t>
            </w:r>
            <w:proofErr w:type="gramEnd"/>
            <w:r w:rsidRPr="00001F83">
              <w:rPr>
                <w:color w:val="0A0A0A"/>
                <w:sz w:val="22"/>
                <w:szCs w:val="22"/>
              </w:rPr>
              <w:t xml:space="preserve"> 3)</w:t>
            </w:r>
          </w:p>
          <w:p w14:paraId="25EEC47A" w14:textId="77777777" w:rsidR="00AF51F1" w:rsidRPr="00001F83" w:rsidRDefault="00711D3C">
            <w:pPr>
              <w:jc w:val="center"/>
              <w:rPr>
                <w:color w:val="0A0A0A"/>
                <w:sz w:val="22"/>
                <w:szCs w:val="22"/>
              </w:rPr>
            </w:pPr>
            <w:r w:rsidRPr="00001F83">
              <w:rPr>
                <w:color w:val="0A0A0A"/>
                <w:sz w:val="22"/>
                <w:szCs w:val="22"/>
              </w:rPr>
              <w:t>£m</w:t>
            </w:r>
          </w:p>
        </w:tc>
      </w:tr>
      <w:tr w:rsidR="00AF51F1" w:rsidRPr="00001F83" w14:paraId="220CA7AF" w14:textId="77777777">
        <w:trPr>
          <w:jc w:val="center"/>
        </w:trPr>
        <w:tc>
          <w:tcPr>
            <w:tcW w:w="406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DABCACF" w14:textId="77777777" w:rsidR="00AF51F1" w:rsidRPr="00001F83" w:rsidRDefault="00711D3C">
            <w:pPr>
              <w:rPr>
                <w:color w:val="0A0A0A"/>
                <w:sz w:val="22"/>
                <w:szCs w:val="22"/>
              </w:rPr>
            </w:pPr>
            <w:r w:rsidRPr="00001F83">
              <w:rPr>
                <w:color w:val="0A0A0A"/>
                <w:sz w:val="22"/>
                <w:szCs w:val="22"/>
              </w:rPr>
              <w:t>Opening Balance</w:t>
            </w:r>
          </w:p>
        </w:tc>
        <w:tc>
          <w:tcPr>
            <w:tcW w:w="11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29052E0" w14:textId="77777777" w:rsidR="00AF51F1" w:rsidRPr="00001F83" w:rsidRDefault="00711D3C">
            <w:pPr>
              <w:jc w:val="center"/>
              <w:rPr>
                <w:color w:val="0A0A0A"/>
                <w:sz w:val="22"/>
                <w:szCs w:val="22"/>
              </w:rPr>
            </w:pPr>
            <w:r w:rsidRPr="00001F83">
              <w:rPr>
                <w:color w:val="0A0A0A"/>
                <w:sz w:val="22"/>
                <w:szCs w:val="22"/>
              </w:rPr>
              <w:t>1.479</w:t>
            </w:r>
          </w:p>
        </w:tc>
        <w:tc>
          <w:tcPr>
            <w:tcW w:w="1191" w:type="dxa"/>
            <w:tcBorders>
              <w:top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5C80F87" w14:textId="77777777" w:rsidR="00AF51F1" w:rsidRPr="00001F83" w:rsidRDefault="00711D3C">
            <w:pPr>
              <w:jc w:val="center"/>
              <w:rPr>
                <w:color w:val="0A0A0A"/>
                <w:sz w:val="22"/>
                <w:szCs w:val="22"/>
              </w:rPr>
            </w:pPr>
            <w:r w:rsidRPr="00001F83">
              <w:rPr>
                <w:color w:val="0A0A0A"/>
                <w:sz w:val="22"/>
                <w:szCs w:val="22"/>
              </w:rPr>
              <w:t>1.419</w:t>
            </w:r>
          </w:p>
        </w:tc>
        <w:tc>
          <w:tcPr>
            <w:tcW w:w="1191" w:type="dxa"/>
            <w:tcBorders>
              <w:top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70871B4" w14:textId="77777777" w:rsidR="00AF51F1" w:rsidRPr="00001F83" w:rsidRDefault="00711D3C">
            <w:pPr>
              <w:jc w:val="center"/>
              <w:rPr>
                <w:color w:val="0A0A0A"/>
                <w:sz w:val="22"/>
                <w:szCs w:val="22"/>
              </w:rPr>
            </w:pPr>
            <w:r w:rsidRPr="00001F83">
              <w:rPr>
                <w:color w:val="0A0A0A"/>
                <w:sz w:val="22"/>
                <w:szCs w:val="22"/>
              </w:rPr>
              <w:t>1.237</w:t>
            </w:r>
          </w:p>
        </w:tc>
        <w:tc>
          <w:tcPr>
            <w:tcW w:w="1191" w:type="dxa"/>
            <w:tcBorders>
              <w:top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9FEE10D" w14:textId="77777777" w:rsidR="00AF51F1" w:rsidRPr="00001F83" w:rsidRDefault="00711D3C">
            <w:pPr>
              <w:jc w:val="center"/>
              <w:rPr>
                <w:color w:val="0A0A0A"/>
                <w:sz w:val="22"/>
                <w:szCs w:val="22"/>
              </w:rPr>
            </w:pPr>
            <w:r w:rsidRPr="00001F83">
              <w:rPr>
                <w:color w:val="0A0A0A"/>
                <w:sz w:val="22"/>
                <w:szCs w:val="22"/>
              </w:rPr>
              <w:t>0.905</w:t>
            </w:r>
          </w:p>
        </w:tc>
      </w:tr>
      <w:tr w:rsidR="00AF51F1" w:rsidRPr="00001F83" w14:paraId="09C4092F" w14:textId="77777777">
        <w:trPr>
          <w:jc w:val="center"/>
        </w:trPr>
        <w:tc>
          <w:tcPr>
            <w:tcW w:w="4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9B6FE" w14:textId="77777777" w:rsidR="00AF51F1" w:rsidRPr="00001F83" w:rsidRDefault="00711D3C">
            <w:pPr>
              <w:rPr>
                <w:color w:val="0A0A0A"/>
                <w:sz w:val="22"/>
                <w:szCs w:val="22"/>
              </w:rPr>
            </w:pPr>
            <w:r w:rsidRPr="00001F83">
              <w:rPr>
                <w:color w:val="0A0A0A"/>
                <w:sz w:val="22"/>
                <w:szCs w:val="22"/>
              </w:rPr>
              <w:t>Proposed Utilisation of Reserves</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3E26FB" w14:textId="77777777" w:rsidR="00AF51F1" w:rsidRPr="00001F83" w:rsidRDefault="00711D3C">
            <w:pPr>
              <w:jc w:val="center"/>
              <w:rPr>
                <w:color w:val="0A0A0A"/>
                <w:sz w:val="22"/>
                <w:szCs w:val="22"/>
              </w:rPr>
            </w:pPr>
            <w:r w:rsidRPr="00001F83">
              <w:rPr>
                <w:color w:val="0A0A0A"/>
                <w:sz w:val="22"/>
                <w:szCs w:val="22"/>
              </w:rPr>
              <w:t>(0.060)</w:t>
            </w:r>
          </w:p>
        </w:tc>
        <w:tc>
          <w:tcPr>
            <w:tcW w:w="119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6A5CED" w14:textId="77777777" w:rsidR="00AF51F1" w:rsidRPr="00001F83" w:rsidRDefault="00711D3C">
            <w:pPr>
              <w:jc w:val="center"/>
              <w:rPr>
                <w:color w:val="0A0A0A"/>
                <w:sz w:val="22"/>
                <w:szCs w:val="22"/>
              </w:rPr>
            </w:pPr>
            <w:r w:rsidRPr="00001F83">
              <w:rPr>
                <w:color w:val="0A0A0A"/>
                <w:sz w:val="22"/>
                <w:szCs w:val="22"/>
              </w:rPr>
              <w:t>(0.182)</w:t>
            </w:r>
          </w:p>
        </w:tc>
        <w:tc>
          <w:tcPr>
            <w:tcW w:w="119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7BBFBF" w14:textId="77777777" w:rsidR="00AF51F1" w:rsidRPr="00001F83" w:rsidRDefault="00711D3C">
            <w:pPr>
              <w:jc w:val="center"/>
              <w:rPr>
                <w:color w:val="0A0A0A"/>
                <w:sz w:val="22"/>
                <w:szCs w:val="22"/>
              </w:rPr>
            </w:pPr>
            <w:r w:rsidRPr="00001F83">
              <w:rPr>
                <w:color w:val="0A0A0A"/>
                <w:sz w:val="22"/>
                <w:szCs w:val="22"/>
              </w:rPr>
              <w:t>(0.332)</w:t>
            </w:r>
          </w:p>
        </w:tc>
        <w:tc>
          <w:tcPr>
            <w:tcW w:w="119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77DF72" w14:textId="77777777" w:rsidR="00AF51F1" w:rsidRPr="00001F83" w:rsidRDefault="00711D3C">
            <w:pPr>
              <w:jc w:val="center"/>
              <w:rPr>
                <w:color w:val="0A0A0A"/>
                <w:sz w:val="22"/>
                <w:szCs w:val="22"/>
              </w:rPr>
            </w:pPr>
            <w:r w:rsidRPr="00001F83">
              <w:rPr>
                <w:color w:val="0A0A0A"/>
                <w:sz w:val="22"/>
                <w:szCs w:val="22"/>
              </w:rPr>
              <w:t>(0.403)</w:t>
            </w:r>
          </w:p>
        </w:tc>
      </w:tr>
      <w:tr w:rsidR="00AF51F1" w:rsidRPr="00001F83" w14:paraId="77EA03A3" w14:textId="77777777">
        <w:trPr>
          <w:jc w:val="center"/>
        </w:trPr>
        <w:tc>
          <w:tcPr>
            <w:tcW w:w="406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0A111B6" w14:textId="77777777" w:rsidR="00AF51F1" w:rsidRPr="00001F83" w:rsidRDefault="00711D3C">
            <w:pPr>
              <w:rPr>
                <w:color w:val="0A0A0A"/>
                <w:sz w:val="22"/>
                <w:szCs w:val="22"/>
              </w:rPr>
            </w:pPr>
            <w:r w:rsidRPr="00001F83">
              <w:rPr>
                <w:color w:val="0A0A0A"/>
                <w:sz w:val="22"/>
                <w:szCs w:val="22"/>
              </w:rPr>
              <w:t>Closing Balance</w:t>
            </w:r>
          </w:p>
        </w:tc>
        <w:tc>
          <w:tcPr>
            <w:tcW w:w="11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E315173" w14:textId="77777777" w:rsidR="00AF51F1" w:rsidRPr="00001F83" w:rsidRDefault="00711D3C">
            <w:pPr>
              <w:jc w:val="center"/>
              <w:rPr>
                <w:color w:val="0A0A0A"/>
                <w:sz w:val="22"/>
                <w:szCs w:val="22"/>
              </w:rPr>
            </w:pPr>
            <w:r w:rsidRPr="00001F83">
              <w:rPr>
                <w:color w:val="0A0A0A"/>
                <w:sz w:val="22"/>
                <w:szCs w:val="22"/>
              </w:rPr>
              <w:t>1.419</w:t>
            </w:r>
          </w:p>
        </w:tc>
        <w:tc>
          <w:tcPr>
            <w:tcW w:w="1191" w:type="dxa"/>
            <w:tcBorders>
              <w:top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50E9CEB" w14:textId="77777777" w:rsidR="00AF51F1" w:rsidRPr="00001F83" w:rsidRDefault="00711D3C">
            <w:pPr>
              <w:jc w:val="center"/>
              <w:rPr>
                <w:color w:val="0A0A0A"/>
                <w:sz w:val="22"/>
                <w:szCs w:val="22"/>
              </w:rPr>
            </w:pPr>
            <w:r w:rsidRPr="00001F83">
              <w:rPr>
                <w:color w:val="0A0A0A"/>
                <w:sz w:val="22"/>
                <w:szCs w:val="22"/>
              </w:rPr>
              <w:t>1.237</w:t>
            </w:r>
          </w:p>
        </w:tc>
        <w:tc>
          <w:tcPr>
            <w:tcW w:w="1191" w:type="dxa"/>
            <w:tcBorders>
              <w:top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CA6ABD3" w14:textId="77777777" w:rsidR="00AF51F1" w:rsidRPr="00001F83" w:rsidRDefault="00711D3C">
            <w:pPr>
              <w:jc w:val="center"/>
              <w:rPr>
                <w:color w:val="0A0A0A"/>
                <w:sz w:val="22"/>
                <w:szCs w:val="22"/>
              </w:rPr>
            </w:pPr>
            <w:r w:rsidRPr="00001F83">
              <w:rPr>
                <w:color w:val="0A0A0A"/>
                <w:sz w:val="22"/>
                <w:szCs w:val="22"/>
              </w:rPr>
              <w:t>0.905</w:t>
            </w:r>
          </w:p>
        </w:tc>
        <w:tc>
          <w:tcPr>
            <w:tcW w:w="1191" w:type="dxa"/>
            <w:tcBorders>
              <w:top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11AB04C" w14:textId="77777777" w:rsidR="00AF51F1" w:rsidRPr="00001F83" w:rsidRDefault="00711D3C">
            <w:pPr>
              <w:jc w:val="center"/>
              <w:rPr>
                <w:color w:val="0A0A0A"/>
                <w:sz w:val="22"/>
                <w:szCs w:val="22"/>
              </w:rPr>
            </w:pPr>
            <w:r w:rsidRPr="00001F83">
              <w:rPr>
                <w:color w:val="0A0A0A"/>
                <w:sz w:val="22"/>
                <w:szCs w:val="22"/>
              </w:rPr>
              <w:t>0.502</w:t>
            </w:r>
          </w:p>
        </w:tc>
      </w:tr>
    </w:tbl>
    <w:p w14:paraId="679A6E9D" w14:textId="77777777" w:rsidR="00AF51F1" w:rsidRPr="00001F83" w:rsidRDefault="00AF51F1">
      <w:pPr>
        <w:ind w:left="720"/>
        <w:rPr>
          <w:color w:val="0A0A0A"/>
          <w:sz w:val="22"/>
          <w:szCs w:val="22"/>
        </w:rPr>
      </w:pPr>
    </w:p>
    <w:p w14:paraId="2A925FB8" w14:textId="77777777" w:rsidR="00AF51F1" w:rsidRPr="00001F83" w:rsidRDefault="00711D3C" w:rsidP="00292930">
      <w:pPr>
        <w:rPr>
          <w:color w:val="0A0A0A"/>
          <w:sz w:val="22"/>
          <w:szCs w:val="22"/>
        </w:rPr>
      </w:pPr>
      <w:r w:rsidRPr="00001F83">
        <w:rPr>
          <w:color w:val="0A0A0A"/>
          <w:sz w:val="22"/>
          <w:szCs w:val="22"/>
        </w:rPr>
        <w:t xml:space="preserve">The balance on Reserves (£0.502 million) is after a reduction in council contributions of £0.050m in 2023/2024 and 2024/2025.  This still represents a significant balance.  The reason it is considered appropriate to work towards holding this level of reserve relates to a risk that funding for Barclay may not be recurring beyond this timeframe. </w:t>
      </w:r>
    </w:p>
    <w:p w14:paraId="4C6ED1C9" w14:textId="77777777" w:rsidR="00AF51F1" w:rsidRDefault="00AF51F1">
      <w:pPr>
        <w:ind w:left="720" w:hanging="720"/>
        <w:rPr>
          <w:shd w:val="clear" w:color="auto" w:fill="FFFF00"/>
        </w:rPr>
      </w:pPr>
    </w:p>
    <w:p w14:paraId="5272F1D9" w14:textId="77777777" w:rsidR="00AF51F1" w:rsidRDefault="00711D3C">
      <w:r>
        <w:rPr>
          <w:color w:val="0A0A0A"/>
          <w:sz w:val="22"/>
          <w:szCs w:val="22"/>
          <w:lang w:val="en-US"/>
        </w:rPr>
        <w:t>Consequently, the Assessor and Electoral Registration Officer will look to continue to implement efficiency savings in future, although with a</w:t>
      </w:r>
      <w:r>
        <w:rPr>
          <w:b/>
          <w:bCs/>
          <w:color w:val="0A0A0A"/>
          <w:sz w:val="22"/>
          <w:szCs w:val="22"/>
          <w:lang w:val="en-US"/>
        </w:rPr>
        <w:t xml:space="preserve"> </w:t>
      </w:r>
      <w:r>
        <w:rPr>
          <w:color w:val="0A0A0A"/>
          <w:sz w:val="22"/>
          <w:szCs w:val="22"/>
          <w:lang w:val="en-US"/>
        </w:rPr>
        <w:t>significant number of statutory duties to be met the continued pressure on resources could have an adverse impact on performance and service delivery.</w:t>
      </w:r>
    </w:p>
    <w:p w14:paraId="1EB4E5E7" w14:textId="77777777" w:rsidR="00AF51F1" w:rsidRDefault="00AF51F1">
      <w:pPr>
        <w:widowControl w:val="0"/>
        <w:autoSpaceDE w:val="0"/>
        <w:ind w:right="2" w:hanging="7"/>
        <w:rPr>
          <w:rFonts w:eastAsia="Arial" w:cs="Arial"/>
          <w:color w:val="0A0A0A"/>
          <w:w w:val="105"/>
          <w:sz w:val="22"/>
          <w:szCs w:val="22"/>
          <w:lang w:val="en-US"/>
        </w:rPr>
      </w:pPr>
    </w:p>
    <w:p w14:paraId="1CE4A11E" w14:textId="77777777" w:rsidR="00AF51F1" w:rsidRDefault="00711D3C">
      <w:pPr>
        <w:widowControl w:val="0"/>
        <w:autoSpaceDE w:val="0"/>
      </w:pPr>
      <w:r>
        <w:rPr>
          <w:rFonts w:eastAsia="Arial" w:cs="Arial"/>
          <w:b/>
          <w:color w:val="0A0A0A"/>
          <w:w w:val="105"/>
          <w:sz w:val="22"/>
          <w:szCs w:val="22"/>
          <w:lang w:val="en-US"/>
        </w:rPr>
        <w:t>Risks and Uncertainties</w:t>
      </w:r>
    </w:p>
    <w:p w14:paraId="0A05B958" w14:textId="77777777" w:rsidR="00AF51F1" w:rsidRDefault="00711D3C">
      <w:pPr>
        <w:widowControl w:val="0"/>
        <w:autoSpaceDE w:val="0"/>
      </w:pPr>
      <w:r>
        <w:rPr>
          <w:rFonts w:eastAsia="Arial" w:cs="Arial"/>
          <w:sz w:val="22"/>
          <w:szCs w:val="22"/>
          <w:lang w:val="en-US"/>
        </w:rPr>
        <w:t xml:space="preserve">The Board noted the Risk Register Update 2022 at its meeting in March 2022. The main risks highlighted are the </w:t>
      </w:r>
      <w:proofErr w:type="spellStart"/>
      <w:r>
        <w:rPr>
          <w:rFonts w:eastAsia="Arial" w:cs="Arial"/>
          <w:sz w:val="22"/>
          <w:szCs w:val="22"/>
          <w:lang w:val="en-US"/>
        </w:rPr>
        <w:t>i</w:t>
      </w:r>
      <w:r>
        <w:rPr>
          <w:rFonts w:cs="Arial"/>
          <w:sz w:val="22"/>
          <w:szCs w:val="22"/>
          <w:lang w:eastAsia="en-GB"/>
        </w:rPr>
        <w:t>nability</w:t>
      </w:r>
      <w:proofErr w:type="spellEnd"/>
      <w:r>
        <w:rPr>
          <w:rFonts w:cs="Arial"/>
          <w:sz w:val="22"/>
          <w:szCs w:val="22"/>
          <w:lang w:eastAsia="en-GB"/>
        </w:rPr>
        <w:t xml:space="preserve"> to deal with the increase in non-domestic appeals activity and </w:t>
      </w:r>
      <w:r>
        <w:rPr>
          <w:rFonts w:eastAsia="Arial" w:cs="Arial"/>
          <w:sz w:val="22"/>
          <w:szCs w:val="22"/>
          <w:lang w:val="en-US"/>
        </w:rPr>
        <w:t>the f</w:t>
      </w:r>
      <w:proofErr w:type="spellStart"/>
      <w:r>
        <w:rPr>
          <w:rFonts w:cs="Arial"/>
          <w:sz w:val="22"/>
          <w:szCs w:val="22"/>
          <w:lang w:eastAsia="en-GB"/>
        </w:rPr>
        <w:t>ailure</w:t>
      </w:r>
      <w:proofErr w:type="spellEnd"/>
      <w:r>
        <w:rPr>
          <w:rFonts w:cs="Arial"/>
          <w:sz w:val="22"/>
          <w:szCs w:val="22"/>
          <w:lang w:eastAsia="en-GB"/>
        </w:rPr>
        <w:t xml:space="preserve"> to recruit and/or retain qualified valuation staff.</w:t>
      </w:r>
      <w:r>
        <w:rPr>
          <w:rFonts w:eastAsia="Arial" w:cs="Arial"/>
          <w:sz w:val="22"/>
          <w:szCs w:val="22"/>
          <w:lang w:val="en-US"/>
        </w:rPr>
        <w:t xml:space="preserve"> In respect of the first highlighted risk, as noted earlier, the outcome of proposed legislation - the Non-Domestic Rates (Coronavirus) (Scotland) Bill - is awaited before scoping further the workload associated with the voluminous levels of appeals received </w:t>
      </w:r>
      <w:proofErr w:type="gramStart"/>
      <w:r>
        <w:rPr>
          <w:rFonts w:eastAsia="Arial" w:cs="Arial"/>
          <w:sz w:val="22"/>
          <w:szCs w:val="22"/>
          <w:lang w:val="en-US"/>
        </w:rPr>
        <w:t>as a result of</w:t>
      </w:r>
      <w:proofErr w:type="gramEnd"/>
      <w:r>
        <w:rPr>
          <w:rFonts w:eastAsia="Arial" w:cs="Arial"/>
          <w:sz w:val="22"/>
          <w:szCs w:val="22"/>
          <w:lang w:val="en-US"/>
        </w:rPr>
        <w:t xml:space="preserve"> the pandemic. With regards to the second risk, dialogue continues with all officers to the Board, as well as with South Lanarkshire Council’s Personnel Services in relation to retaining and recruiting suitably qualified personnel to deal with the anticipated workload for coming years, in particular the workload associated with the recommendations from the Barclay Review into non-domestic rates. All risks are monitored by LVJB’s management team with a view to mitigating each risk, whether an existing or emerging risk.</w:t>
      </w:r>
      <w:r>
        <w:rPr>
          <w:rFonts w:eastAsia="Arial" w:cs="Arial"/>
          <w:b/>
          <w:sz w:val="22"/>
          <w:szCs w:val="22"/>
          <w:lang w:val="en-US"/>
        </w:rPr>
        <w:br/>
      </w:r>
    </w:p>
    <w:p w14:paraId="18A41659" w14:textId="77777777" w:rsidR="00AF51F1" w:rsidRDefault="00711D3C">
      <w:pPr>
        <w:jc w:val="both"/>
        <w:rPr>
          <w:b/>
          <w:sz w:val="22"/>
          <w:szCs w:val="22"/>
        </w:rPr>
      </w:pPr>
      <w:r>
        <w:rPr>
          <w:b/>
          <w:sz w:val="22"/>
          <w:szCs w:val="22"/>
        </w:rPr>
        <w:t>Coronavirus Pandemic</w:t>
      </w:r>
    </w:p>
    <w:p w14:paraId="69FA22B4" w14:textId="77777777" w:rsidR="00AF51F1" w:rsidRDefault="00711D3C">
      <w:pPr>
        <w:rPr>
          <w:rFonts w:cs="Arial"/>
          <w:sz w:val="22"/>
          <w:szCs w:val="22"/>
        </w:rPr>
      </w:pPr>
      <w:r>
        <w:rPr>
          <w:rFonts w:cs="Arial"/>
          <w:sz w:val="22"/>
          <w:szCs w:val="22"/>
        </w:rPr>
        <w:t xml:space="preserve">Whilst there has been a return to some form of normality, the risks associated with the pandemic remain. New working practices have evolved as a result of, in particular, the lockdowns introduced countrywide; working practices such as undertaking tasks from home, </w:t>
      </w:r>
      <w:r>
        <w:rPr>
          <w:rFonts w:cs="Arial"/>
          <w:sz w:val="22"/>
          <w:szCs w:val="22"/>
        </w:rPr>
        <w:lastRenderedPageBreak/>
        <w:t xml:space="preserve">sourcing more information digitally, and using electronic communications </w:t>
      </w:r>
      <w:proofErr w:type="gramStart"/>
      <w:r>
        <w:rPr>
          <w:rFonts w:cs="Arial"/>
          <w:sz w:val="22"/>
          <w:szCs w:val="22"/>
        </w:rPr>
        <w:t>where</w:t>
      </w:r>
      <w:proofErr w:type="gramEnd"/>
      <w:r>
        <w:rPr>
          <w:rFonts w:cs="Arial"/>
          <w:sz w:val="22"/>
          <w:szCs w:val="22"/>
        </w:rPr>
        <w:t xml:space="preserve"> deemed appropriate, have been introduced over the last two years. With blended working arrangements now in place involving working </w:t>
      </w:r>
      <w:proofErr w:type="spellStart"/>
      <w:r>
        <w:rPr>
          <w:rFonts w:cs="Arial"/>
          <w:sz w:val="22"/>
          <w:szCs w:val="22"/>
        </w:rPr>
        <w:t>some time</w:t>
      </w:r>
      <w:proofErr w:type="spellEnd"/>
      <w:r>
        <w:rPr>
          <w:rFonts w:cs="Arial"/>
          <w:sz w:val="22"/>
          <w:szCs w:val="22"/>
        </w:rPr>
        <w:t xml:space="preserve"> within the office and some time from home, the risks against service failure associated with the pandemic escalating again are somewhat mitigated against.</w:t>
      </w:r>
    </w:p>
    <w:p w14:paraId="3C125372" w14:textId="77777777" w:rsidR="00AF51F1" w:rsidRDefault="00AF51F1">
      <w:pPr>
        <w:rPr>
          <w:rFonts w:cs="Arial"/>
          <w:sz w:val="22"/>
          <w:szCs w:val="22"/>
        </w:rPr>
      </w:pPr>
    </w:p>
    <w:p w14:paraId="26180027" w14:textId="11382E24" w:rsidR="00AF51F1" w:rsidRDefault="00711D3C">
      <w:pPr>
        <w:rPr>
          <w:rFonts w:cs="Arial"/>
          <w:sz w:val="22"/>
          <w:szCs w:val="22"/>
        </w:rPr>
      </w:pPr>
      <w:r>
        <w:rPr>
          <w:rFonts w:cs="Arial"/>
          <w:sz w:val="22"/>
          <w:szCs w:val="22"/>
        </w:rPr>
        <w:t>One of the main impacts on LVJB’s operations of the pandemic was the inability to carry out site visits for council tax, non-domestic changes, and electoral matters. Such visits have resumed, with appropriate safety guidance, and as such should contribute to our organisation’s ability to maintain as accurately and complete as possible the Valuation Roll, Council Tax List and Electoral Registers. LVJB’s staff are to be commended again on their ability to adapt to changing processes to ensure that all statutory functions are carried out.</w:t>
      </w:r>
    </w:p>
    <w:p w14:paraId="334ED406" w14:textId="77777777" w:rsidR="00001F83" w:rsidRDefault="00001F83">
      <w:pPr>
        <w:rPr>
          <w:rFonts w:cs="Arial"/>
          <w:sz w:val="22"/>
          <w:szCs w:val="22"/>
        </w:rPr>
      </w:pPr>
    </w:p>
    <w:p w14:paraId="01CA9371" w14:textId="77777777" w:rsidR="00AF51F1" w:rsidRDefault="00711D3C">
      <w:pPr>
        <w:pStyle w:val="09-Bodytext"/>
      </w:pPr>
      <w:r>
        <w:rPr>
          <w:b/>
          <w:bCs/>
          <w:w w:val="105"/>
          <w:szCs w:val="22"/>
        </w:rPr>
        <w:t>Conclusion</w:t>
      </w:r>
    </w:p>
    <w:p w14:paraId="5386FD2A" w14:textId="77777777" w:rsidR="00AF51F1" w:rsidRDefault="00711D3C">
      <w:pPr>
        <w:pStyle w:val="09-Bodytext"/>
      </w:pPr>
      <w:r>
        <w:rPr>
          <w:rFonts w:eastAsia="Arial"/>
          <w:w w:val="105"/>
          <w:szCs w:val="22"/>
          <w:lang w:val="en-US"/>
        </w:rPr>
        <w:t xml:space="preserve">Given the continued challenges which all </w:t>
      </w:r>
      <w:proofErr w:type="spellStart"/>
      <w:r>
        <w:rPr>
          <w:rFonts w:eastAsia="Arial"/>
          <w:w w:val="105"/>
          <w:szCs w:val="22"/>
          <w:lang w:val="en-US"/>
        </w:rPr>
        <w:t>organisations</w:t>
      </w:r>
      <w:proofErr w:type="spellEnd"/>
      <w:r>
        <w:rPr>
          <w:rFonts w:eastAsia="Arial"/>
          <w:w w:val="105"/>
          <w:szCs w:val="22"/>
          <w:lang w:val="en-US"/>
        </w:rPr>
        <w:t xml:space="preserve"> have faced </w:t>
      </w:r>
      <w:proofErr w:type="gramStart"/>
      <w:r>
        <w:rPr>
          <w:rFonts w:eastAsia="Arial"/>
          <w:w w:val="105"/>
          <w:szCs w:val="22"/>
          <w:lang w:val="en-US"/>
        </w:rPr>
        <w:t>as a result of</w:t>
      </w:r>
      <w:proofErr w:type="gramEnd"/>
      <w:r>
        <w:rPr>
          <w:rFonts w:eastAsia="Arial"/>
          <w:w w:val="105"/>
          <w:szCs w:val="22"/>
          <w:lang w:val="en-US"/>
        </w:rPr>
        <w:t xml:space="preserve"> the coronavirus pandemic, operational performance continued to remain positive for the period 2021/22, in particular in respect of delivering a major electoral event, and meeting targets in respect of entering new dwellings in the Valuation List. It is anticipated that the resumption of site visits will assist in performance in respect of undertaking alterations to the valuation roll for non-domestic subjects. Sound financial management and </w:t>
      </w:r>
      <w:proofErr w:type="gramStart"/>
      <w:r>
        <w:rPr>
          <w:rFonts w:eastAsia="Arial"/>
          <w:w w:val="105"/>
          <w:szCs w:val="22"/>
          <w:lang w:val="en-US"/>
        </w:rPr>
        <w:t>medium term</w:t>
      </w:r>
      <w:proofErr w:type="gramEnd"/>
      <w:r>
        <w:rPr>
          <w:rFonts w:eastAsia="Arial"/>
          <w:w w:val="105"/>
          <w:szCs w:val="22"/>
          <w:lang w:val="en-US"/>
        </w:rPr>
        <w:t xml:space="preserve"> planning has enabled the Board to successfully manage the financial challenges faced during financial year 2021/22. However, there remain </w:t>
      </w:r>
      <w:proofErr w:type="gramStart"/>
      <w:r>
        <w:rPr>
          <w:rFonts w:eastAsia="Arial"/>
          <w:w w:val="105"/>
          <w:szCs w:val="22"/>
          <w:lang w:val="en-US"/>
        </w:rPr>
        <w:t>a number of</w:t>
      </w:r>
      <w:proofErr w:type="gramEnd"/>
      <w:r>
        <w:rPr>
          <w:rFonts w:eastAsia="Arial"/>
          <w:w w:val="105"/>
          <w:szCs w:val="22"/>
          <w:lang w:val="en-US"/>
        </w:rPr>
        <w:t xml:space="preserve"> challenges going forward, not least the challenges posed by the introduction of three yearly non-domestic revaluations with effect from 1 April 2023; an associated change to the non-domestic appeals system scheduled to be implemented with effect from 1 January 2023; and further potential challenges posed by the introduction of the Elections Act 2022.</w:t>
      </w:r>
    </w:p>
    <w:p w14:paraId="7CAB070D" w14:textId="77777777" w:rsidR="00AF51F1" w:rsidRDefault="00AF51F1">
      <w:pPr>
        <w:pStyle w:val="09-Bodytext"/>
        <w:rPr>
          <w:rFonts w:eastAsia="Arial"/>
          <w:szCs w:val="22"/>
          <w:lang w:val="en-US"/>
        </w:rPr>
      </w:pPr>
    </w:p>
    <w:p w14:paraId="483A89EA" w14:textId="2116F62B" w:rsidR="00AF51F1" w:rsidRDefault="00711D3C">
      <w:pPr>
        <w:pStyle w:val="09-Bodytext"/>
        <w:rPr>
          <w:rFonts w:eastAsia="Arial"/>
          <w:w w:val="105"/>
          <w:szCs w:val="22"/>
          <w:lang w:val="en-US"/>
        </w:rPr>
      </w:pPr>
      <w:r>
        <w:rPr>
          <w:rFonts w:eastAsia="Arial"/>
          <w:w w:val="105"/>
          <w:szCs w:val="22"/>
          <w:lang w:val="en-US"/>
        </w:rPr>
        <w:t xml:space="preserve">We wish to acknowledge the significant efforts of all staff in contributing to the Board's operational performance, of budget managers and support staff whose financial stewardship contributed to the Board's financial position </w:t>
      </w:r>
      <w:proofErr w:type="gramStart"/>
      <w:r>
        <w:rPr>
          <w:rFonts w:eastAsia="Arial"/>
          <w:w w:val="105"/>
          <w:szCs w:val="22"/>
          <w:lang w:val="en-US"/>
        </w:rPr>
        <w:t>at</w:t>
      </w:r>
      <w:proofErr w:type="gramEnd"/>
      <w:r>
        <w:rPr>
          <w:rFonts w:eastAsia="Arial"/>
          <w:w w:val="105"/>
          <w:szCs w:val="22"/>
          <w:lang w:val="en-US"/>
        </w:rPr>
        <w:t xml:space="preserve"> 31 March 2022, and to everyone involved in the preparation of the Annual Accounts.</w:t>
      </w:r>
    </w:p>
    <w:p w14:paraId="08EEA1E5" w14:textId="1F960AD4" w:rsidR="00B0703C" w:rsidRDefault="0046379A">
      <w:pPr>
        <w:pStyle w:val="09-Bodytext"/>
        <w:rPr>
          <w:rFonts w:eastAsia="Arial"/>
          <w:w w:val="105"/>
          <w:szCs w:val="22"/>
          <w:lang w:val="en-US"/>
        </w:rPr>
      </w:pPr>
      <w:r>
        <w:rPr>
          <w:noProof/>
        </w:rPr>
        <w:drawing>
          <wp:anchor distT="0" distB="0" distL="0" distR="0" simplePos="0" relativeHeight="251661312" behindDoc="0" locked="0" layoutInCell="1" allowOverlap="1" wp14:anchorId="3C397238" wp14:editId="7225755F">
            <wp:simplePos x="0" y="0"/>
            <wp:positionH relativeFrom="margin">
              <wp:posOffset>1645920</wp:posOffset>
            </wp:positionH>
            <wp:positionV relativeFrom="paragraph">
              <wp:posOffset>307975</wp:posOffset>
            </wp:positionV>
            <wp:extent cx="1814195" cy="365760"/>
            <wp:effectExtent l="0" t="0" r="0" b="0"/>
            <wp:wrapSquare wrapText="bothSides"/>
            <wp:docPr id="6" name="image3.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3.jpeg">
                      <a:extLst>
                        <a:ext uri="{C183D7F6-B498-43B3-948B-1728B52AA6E4}">
                          <adec:decorative xmlns:adec="http://schemas.microsoft.com/office/drawing/2017/decorative" val="1"/>
                        </a:ext>
                      </a:extLst>
                    </pic:cNvPr>
                    <pic:cNvPicPr/>
                  </pic:nvPicPr>
                  <pic:blipFill>
                    <a:blip r:embed="rId10" cstate="print"/>
                    <a:stretch>
                      <a:fillRect/>
                    </a:stretch>
                  </pic:blipFill>
                  <pic:spPr>
                    <a:xfrm>
                      <a:off x="0" y="0"/>
                      <a:ext cx="1814195" cy="365760"/>
                    </a:xfrm>
                    <a:prstGeom prst="rect">
                      <a:avLst/>
                    </a:prstGeom>
                  </pic:spPr>
                </pic:pic>
              </a:graphicData>
            </a:graphic>
            <wp14:sizeRelH relativeFrom="margin">
              <wp14:pctWidth>0</wp14:pctWidth>
            </wp14:sizeRelH>
            <wp14:sizeRelV relativeFrom="margin">
              <wp14:pctHeight>0</wp14:pctHeight>
            </wp14:sizeRelV>
          </wp:anchor>
        </w:drawing>
      </w:r>
    </w:p>
    <w:p w14:paraId="5BF603B0" w14:textId="445C2F79" w:rsidR="000537B8" w:rsidRDefault="000537B8" w:rsidP="000537B8">
      <w:pPr>
        <w:pStyle w:val="09-Bodytext"/>
      </w:pPr>
      <w:r>
        <w:rPr>
          <w:noProof/>
        </w:rPr>
        <w:drawing>
          <wp:anchor distT="0" distB="0" distL="114300" distR="114300" simplePos="0" relativeHeight="251662336" behindDoc="0" locked="0" layoutInCell="1" allowOverlap="1" wp14:anchorId="4F331216" wp14:editId="2214A643">
            <wp:simplePos x="0" y="0"/>
            <wp:positionH relativeFrom="column">
              <wp:posOffset>0</wp:posOffset>
            </wp:positionH>
            <wp:positionV relativeFrom="paragraph">
              <wp:posOffset>2540</wp:posOffset>
            </wp:positionV>
            <wp:extent cx="1481455" cy="426720"/>
            <wp:effectExtent l="0" t="0" r="4445" b="0"/>
            <wp:wrapSquare wrapText="bothSides"/>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1455" cy="426720"/>
                    </a:xfrm>
                    <a:prstGeom prst="rect">
                      <a:avLst/>
                    </a:prstGeom>
                  </pic:spPr>
                </pic:pic>
              </a:graphicData>
            </a:graphic>
          </wp:anchor>
        </w:drawing>
      </w:r>
      <w:r w:rsidR="00BE4A88">
        <w:tab/>
      </w:r>
      <w:r w:rsidR="00BE4A88">
        <w:tab/>
      </w:r>
      <w:r>
        <w:tab/>
      </w:r>
      <w:r>
        <w:tab/>
      </w:r>
      <w:r>
        <w:tab/>
      </w:r>
      <w:r w:rsidRPr="00BE4A88">
        <w:rPr>
          <w:rFonts w:cs="Arial"/>
          <w:noProof/>
          <w:szCs w:val="22"/>
        </w:rPr>
        <w:drawing>
          <wp:anchor distT="0" distB="0" distL="114300" distR="114300" simplePos="0" relativeHeight="251663360" behindDoc="0" locked="0" layoutInCell="1" allowOverlap="1" wp14:anchorId="0B0EA16C" wp14:editId="0D3B2FC9">
            <wp:simplePos x="0" y="0"/>
            <wp:positionH relativeFrom="column">
              <wp:posOffset>3657600</wp:posOffset>
            </wp:positionH>
            <wp:positionV relativeFrom="paragraph">
              <wp:posOffset>2540</wp:posOffset>
            </wp:positionV>
            <wp:extent cx="1874520" cy="374015"/>
            <wp:effectExtent l="0" t="0" r="0" b="6985"/>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1874520" cy="374015"/>
                    </a:xfrm>
                    <a:prstGeom prst="rect">
                      <a:avLst/>
                    </a:prstGeom>
                  </pic:spPr>
                </pic:pic>
              </a:graphicData>
            </a:graphic>
          </wp:anchor>
        </w:drawing>
      </w:r>
    </w:p>
    <w:p w14:paraId="7B9C918F" w14:textId="77777777" w:rsidR="00B0703C" w:rsidRDefault="00B0703C">
      <w:pPr>
        <w:pStyle w:val="09-Bodytext"/>
        <w:rPr>
          <w:b/>
          <w:bCs/>
        </w:rPr>
      </w:pPr>
    </w:p>
    <w:p w14:paraId="23F978B3" w14:textId="6060C619" w:rsidR="00AF51F1" w:rsidRDefault="00711D3C">
      <w:pPr>
        <w:pStyle w:val="09-Bodytext"/>
        <w:rPr>
          <w:b/>
          <w:bCs/>
        </w:rPr>
      </w:pPr>
      <w:r>
        <w:rPr>
          <w:b/>
          <w:bCs/>
        </w:rPr>
        <w:t>Paul Manning</w:t>
      </w:r>
      <w:r>
        <w:rPr>
          <w:b/>
          <w:bCs/>
        </w:rPr>
        <w:tab/>
      </w:r>
      <w:r>
        <w:rPr>
          <w:b/>
          <w:bCs/>
        </w:rPr>
        <w:tab/>
      </w:r>
      <w:r>
        <w:rPr>
          <w:b/>
          <w:bCs/>
        </w:rPr>
        <w:tab/>
      </w:r>
      <w:r w:rsidR="00B0703C">
        <w:rPr>
          <w:b/>
          <w:bCs/>
        </w:rPr>
        <w:t>G</w:t>
      </w:r>
      <w:r>
        <w:rPr>
          <w:b/>
          <w:bCs/>
        </w:rPr>
        <w:t>ary Bennett</w:t>
      </w:r>
      <w:r>
        <w:rPr>
          <w:b/>
          <w:bCs/>
        </w:rPr>
        <w:tab/>
      </w:r>
      <w:r>
        <w:rPr>
          <w:b/>
          <w:bCs/>
        </w:rPr>
        <w:tab/>
      </w:r>
      <w:r>
        <w:rPr>
          <w:b/>
          <w:bCs/>
        </w:rPr>
        <w:tab/>
      </w:r>
      <w:r>
        <w:rPr>
          <w:b/>
          <w:bCs/>
        </w:rPr>
        <w:tab/>
        <w:t>Cllr Walter Brogan</w:t>
      </w:r>
    </w:p>
    <w:p w14:paraId="34983B0D" w14:textId="77777777" w:rsidR="00AF51F1" w:rsidRDefault="00711D3C">
      <w:pPr>
        <w:pStyle w:val="09-Bodytext"/>
        <w:rPr>
          <w:b/>
          <w:bCs/>
        </w:rPr>
      </w:pPr>
      <w:r>
        <w:rPr>
          <w:b/>
          <w:bCs/>
        </w:rPr>
        <w:t>Treasurer</w:t>
      </w:r>
      <w:r>
        <w:rPr>
          <w:b/>
          <w:bCs/>
        </w:rPr>
        <w:tab/>
      </w:r>
      <w:r>
        <w:rPr>
          <w:b/>
          <w:bCs/>
        </w:rPr>
        <w:tab/>
      </w:r>
      <w:r>
        <w:rPr>
          <w:b/>
          <w:bCs/>
        </w:rPr>
        <w:tab/>
        <w:t>Assessor and ER Officer</w:t>
      </w:r>
      <w:r>
        <w:rPr>
          <w:b/>
          <w:bCs/>
        </w:rPr>
        <w:tab/>
      </w:r>
      <w:r>
        <w:rPr>
          <w:b/>
          <w:bCs/>
        </w:rPr>
        <w:tab/>
        <w:t>Convenor</w:t>
      </w:r>
    </w:p>
    <w:p w14:paraId="4F1E3B43" w14:textId="77777777" w:rsidR="00AF51F1" w:rsidRDefault="00AF51F1">
      <w:pPr>
        <w:pStyle w:val="09-Bodytext"/>
      </w:pPr>
    </w:p>
    <w:p w14:paraId="55D45580" w14:textId="77777777" w:rsidR="00AF51F1" w:rsidRDefault="00AF51F1">
      <w:pPr>
        <w:pStyle w:val="09-Bodytext"/>
        <w:rPr>
          <w:shd w:val="clear" w:color="auto" w:fill="FFFF00"/>
        </w:rPr>
      </w:pPr>
    </w:p>
    <w:p w14:paraId="4DE0F960" w14:textId="33988F62" w:rsidR="00194340" w:rsidRDefault="00194340">
      <w:pPr>
        <w:suppressAutoHyphens w:val="0"/>
        <w:rPr>
          <w:sz w:val="22"/>
          <w:szCs w:val="20"/>
          <w:shd w:val="clear" w:color="auto" w:fill="FFFF00"/>
        </w:rPr>
      </w:pPr>
      <w:r>
        <w:rPr>
          <w:shd w:val="clear" w:color="auto" w:fill="FFFF00"/>
        </w:rPr>
        <w:br w:type="page"/>
      </w:r>
    </w:p>
    <w:p w14:paraId="44CE98C0" w14:textId="77777777" w:rsidR="00AF51F1" w:rsidRDefault="00711D3C">
      <w:pPr>
        <w:pStyle w:val="Heading2"/>
        <w:rPr>
          <w:sz w:val="22"/>
          <w:szCs w:val="22"/>
        </w:rPr>
      </w:pPr>
      <w:r>
        <w:rPr>
          <w:sz w:val="22"/>
          <w:szCs w:val="22"/>
        </w:rPr>
        <w:lastRenderedPageBreak/>
        <w:t>Statement of Responsibilities</w:t>
      </w:r>
    </w:p>
    <w:p w14:paraId="44C6D3E6" w14:textId="77777777" w:rsidR="00AF51F1" w:rsidRDefault="00AF51F1">
      <w:pPr>
        <w:contextualSpacing/>
        <w:rPr>
          <w:rFonts w:cs="Arial"/>
          <w:b/>
          <w:sz w:val="22"/>
          <w:szCs w:val="22"/>
        </w:rPr>
      </w:pPr>
    </w:p>
    <w:p w14:paraId="1ABBFBEB" w14:textId="77777777" w:rsidR="00AF51F1" w:rsidRDefault="00711D3C">
      <w:pPr>
        <w:contextualSpacing/>
        <w:rPr>
          <w:rFonts w:cs="Arial"/>
          <w:sz w:val="22"/>
          <w:szCs w:val="22"/>
        </w:rPr>
      </w:pPr>
      <w:r>
        <w:rPr>
          <w:rFonts w:cs="Arial"/>
          <w:sz w:val="22"/>
          <w:szCs w:val="22"/>
        </w:rPr>
        <w:t>This statement sets out the respective responsibilities of the Board and the Treasurer for the Annual Accounts.</w:t>
      </w:r>
    </w:p>
    <w:p w14:paraId="38BC2649" w14:textId="77777777" w:rsidR="00AF51F1" w:rsidRDefault="00AF51F1">
      <w:pPr>
        <w:contextualSpacing/>
        <w:rPr>
          <w:rFonts w:cs="Arial"/>
          <w:sz w:val="22"/>
          <w:szCs w:val="22"/>
        </w:rPr>
      </w:pPr>
    </w:p>
    <w:p w14:paraId="2515960A" w14:textId="77777777" w:rsidR="00AF51F1" w:rsidRDefault="00711D3C">
      <w:pPr>
        <w:contextualSpacing/>
        <w:rPr>
          <w:rFonts w:cs="Arial"/>
          <w:b/>
          <w:sz w:val="22"/>
          <w:szCs w:val="22"/>
        </w:rPr>
      </w:pPr>
      <w:r>
        <w:rPr>
          <w:rFonts w:cs="Arial"/>
          <w:b/>
          <w:sz w:val="22"/>
          <w:szCs w:val="22"/>
        </w:rPr>
        <w:t>The Board’s Responsibilities</w:t>
      </w:r>
    </w:p>
    <w:p w14:paraId="4829B71A" w14:textId="77777777" w:rsidR="00AF51F1" w:rsidRDefault="00AF51F1">
      <w:pPr>
        <w:contextualSpacing/>
        <w:rPr>
          <w:rFonts w:cs="Arial"/>
          <w:sz w:val="22"/>
          <w:szCs w:val="22"/>
        </w:rPr>
      </w:pPr>
    </w:p>
    <w:p w14:paraId="03624680" w14:textId="77777777" w:rsidR="00AF51F1" w:rsidRDefault="00711D3C">
      <w:pPr>
        <w:pStyle w:val="09-Bodytext"/>
      </w:pPr>
      <w:bookmarkStart w:id="2" w:name="_Hlk111630373"/>
      <w:r>
        <w:t>The Board is required to:</w:t>
      </w:r>
    </w:p>
    <w:p w14:paraId="6C375F1C" w14:textId="77777777" w:rsidR="00AF51F1" w:rsidRDefault="00711D3C">
      <w:pPr>
        <w:pStyle w:val="09-Bodytext"/>
        <w:numPr>
          <w:ilvl w:val="0"/>
          <w:numId w:val="4"/>
        </w:numPr>
      </w:pPr>
      <w:proofErr w:type="gramStart"/>
      <w:r>
        <w:t>make arrangements</w:t>
      </w:r>
      <w:proofErr w:type="gramEnd"/>
      <w:r>
        <w:t xml:space="preserve"> for the proper administration of its financial affairs, and to ensure that one of its officers has responsibility for the administration of those affairs.  For the Board, that officer is the Executive Director of Finance and Corporate Resources for South Lanarkshire Council, designated as the Treasurer of the </w:t>
      </w:r>
      <w:proofErr w:type="gramStart"/>
      <w:r>
        <w:t>Board;</w:t>
      </w:r>
      <w:proofErr w:type="gramEnd"/>
    </w:p>
    <w:p w14:paraId="2348A15F" w14:textId="77777777" w:rsidR="00AF51F1" w:rsidRDefault="00711D3C">
      <w:pPr>
        <w:pStyle w:val="09-Bodytext"/>
        <w:numPr>
          <w:ilvl w:val="0"/>
          <w:numId w:val="4"/>
        </w:numPr>
      </w:pPr>
      <w:r>
        <w:t xml:space="preserve">manage its affairs to secure economic, efficient and effective use of resources and safeguard its </w:t>
      </w:r>
      <w:proofErr w:type="gramStart"/>
      <w:r>
        <w:t>assets;</w:t>
      </w:r>
      <w:proofErr w:type="gramEnd"/>
      <w:r>
        <w:t xml:space="preserve"> </w:t>
      </w:r>
    </w:p>
    <w:p w14:paraId="34637814" w14:textId="77777777" w:rsidR="00AF51F1" w:rsidRDefault="00711D3C">
      <w:pPr>
        <w:pStyle w:val="09-Bodytext"/>
        <w:numPr>
          <w:ilvl w:val="0"/>
          <w:numId w:val="4"/>
        </w:numPr>
      </w:pPr>
      <w:r>
        <w:t>ensure the Annual Accounts are prepared in accordance with legislation (The Local Authority Accounts (Scotland) Regulations 2014) and is compatible with that legislation, in accordance with proper accounting practices (section 12 of the Local Government in Scotland Act 2003); and</w:t>
      </w:r>
    </w:p>
    <w:p w14:paraId="67026471" w14:textId="77777777" w:rsidR="00AF51F1" w:rsidRDefault="00711D3C">
      <w:pPr>
        <w:pStyle w:val="09-Bodytext"/>
        <w:numPr>
          <w:ilvl w:val="0"/>
          <w:numId w:val="4"/>
        </w:numPr>
      </w:pPr>
      <w:r>
        <w:t>approve the Annual Accounts for signature</w:t>
      </w:r>
    </w:p>
    <w:bookmarkEnd w:id="2"/>
    <w:p w14:paraId="61D42056" w14:textId="77777777" w:rsidR="00AF51F1" w:rsidRDefault="00AF51F1">
      <w:pPr>
        <w:contextualSpacing/>
        <w:rPr>
          <w:rFonts w:cs="Arial"/>
          <w:b/>
          <w:sz w:val="22"/>
          <w:szCs w:val="22"/>
        </w:rPr>
      </w:pPr>
    </w:p>
    <w:p w14:paraId="21E9628E" w14:textId="62645DAB" w:rsidR="00AF51F1" w:rsidRDefault="00711D3C">
      <w:pPr>
        <w:contextualSpacing/>
        <w:rPr>
          <w:rFonts w:cs="Arial"/>
          <w:sz w:val="22"/>
          <w:szCs w:val="22"/>
        </w:rPr>
      </w:pPr>
      <w:r>
        <w:rPr>
          <w:rFonts w:cs="Arial"/>
          <w:sz w:val="22"/>
          <w:szCs w:val="22"/>
        </w:rPr>
        <w:t xml:space="preserve">I confirm that these Annual Accounts were approved for signature by the Board </w:t>
      </w:r>
      <w:r w:rsidRPr="00001F83">
        <w:rPr>
          <w:rFonts w:cs="Arial"/>
          <w:sz w:val="22"/>
          <w:szCs w:val="22"/>
        </w:rPr>
        <w:t xml:space="preserve">at </w:t>
      </w:r>
      <w:r w:rsidR="007D29F6" w:rsidRPr="00001F83">
        <w:rPr>
          <w:rFonts w:cs="Arial"/>
          <w:sz w:val="22"/>
          <w:szCs w:val="22"/>
        </w:rPr>
        <w:t>its</w:t>
      </w:r>
      <w:r w:rsidR="007D29F6">
        <w:rPr>
          <w:rFonts w:cs="Arial"/>
          <w:sz w:val="22"/>
          <w:szCs w:val="22"/>
        </w:rPr>
        <w:t xml:space="preserve"> </w:t>
      </w:r>
      <w:r>
        <w:rPr>
          <w:rFonts w:cs="Arial"/>
          <w:sz w:val="22"/>
          <w:szCs w:val="22"/>
        </w:rPr>
        <w:t>meeting on 5 September 2022.</w:t>
      </w:r>
    </w:p>
    <w:p w14:paraId="117696DD" w14:textId="77777777" w:rsidR="00AF51F1" w:rsidRDefault="00AF51F1">
      <w:pPr>
        <w:contextualSpacing/>
        <w:rPr>
          <w:lang w:eastAsia="en-GB"/>
        </w:rPr>
      </w:pPr>
    </w:p>
    <w:p w14:paraId="0D865562" w14:textId="09836C56" w:rsidR="00AF51F1" w:rsidRDefault="00BE4A88">
      <w:pPr>
        <w:contextualSpacing/>
        <w:rPr>
          <w:rFonts w:cs="Arial"/>
          <w:sz w:val="22"/>
          <w:szCs w:val="22"/>
        </w:rPr>
      </w:pPr>
      <w:r w:rsidRPr="00BE4A88">
        <w:rPr>
          <w:rFonts w:cs="Arial"/>
          <w:noProof/>
          <w:sz w:val="22"/>
          <w:szCs w:val="22"/>
        </w:rPr>
        <w:drawing>
          <wp:inline distT="0" distB="0" distL="0" distR="0" wp14:anchorId="11DFE60D" wp14:editId="71E92002">
            <wp:extent cx="1486107" cy="495369"/>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2"/>
                    <a:stretch>
                      <a:fillRect/>
                    </a:stretch>
                  </pic:blipFill>
                  <pic:spPr>
                    <a:xfrm>
                      <a:off x="0" y="0"/>
                      <a:ext cx="1486107" cy="495369"/>
                    </a:xfrm>
                    <a:prstGeom prst="rect">
                      <a:avLst/>
                    </a:prstGeom>
                  </pic:spPr>
                </pic:pic>
              </a:graphicData>
            </a:graphic>
          </wp:inline>
        </w:drawing>
      </w:r>
    </w:p>
    <w:p w14:paraId="3D4A29C8" w14:textId="77777777" w:rsidR="00AF51F1" w:rsidRDefault="00711D3C">
      <w:pPr>
        <w:contextualSpacing/>
        <w:rPr>
          <w:rFonts w:cs="Arial"/>
          <w:b/>
          <w:bCs/>
          <w:sz w:val="22"/>
          <w:szCs w:val="22"/>
        </w:rPr>
      </w:pPr>
      <w:r>
        <w:rPr>
          <w:rFonts w:cs="Arial"/>
          <w:b/>
          <w:bCs/>
          <w:sz w:val="22"/>
          <w:szCs w:val="22"/>
        </w:rPr>
        <w:t>Councillor Walter Brogan</w:t>
      </w:r>
    </w:p>
    <w:p w14:paraId="6131A19D" w14:textId="77777777" w:rsidR="00AF51F1" w:rsidRDefault="00711D3C">
      <w:pPr>
        <w:pStyle w:val="09-Bodytext"/>
        <w:rPr>
          <w:b/>
          <w:bCs/>
        </w:rPr>
      </w:pPr>
      <w:r>
        <w:rPr>
          <w:b/>
          <w:bCs/>
        </w:rPr>
        <w:t>Convenor of Lanarkshire Valuation Joint Board</w:t>
      </w:r>
    </w:p>
    <w:p w14:paraId="4811FA92" w14:textId="77777777" w:rsidR="00AF51F1" w:rsidRDefault="00711D3C">
      <w:pPr>
        <w:pStyle w:val="09-Bodytext"/>
        <w:rPr>
          <w:b/>
          <w:bCs/>
        </w:rPr>
      </w:pPr>
      <w:r>
        <w:rPr>
          <w:b/>
          <w:bCs/>
        </w:rPr>
        <w:t>5 September 2022</w:t>
      </w:r>
    </w:p>
    <w:p w14:paraId="74C69A83" w14:textId="77777777" w:rsidR="00AF51F1" w:rsidRDefault="00AF51F1">
      <w:pPr>
        <w:contextualSpacing/>
        <w:rPr>
          <w:rFonts w:cs="Arial"/>
          <w:b/>
          <w:sz w:val="22"/>
          <w:szCs w:val="22"/>
          <w:shd w:val="clear" w:color="auto" w:fill="FFFF00"/>
        </w:rPr>
      </w:pPr>
    </w:p>
    <w:p w14:paraId="02228DE0" w14:textId="77777777" w:rsidR="00AF51F1" w:rsidRDefault="00AF51F1">
      <w:pPr>
        <w:contextualSpacing/>
        <w:rPr>
          <w:rFonts w:cs="Arial"/>
          <w:b/>
          <w:sz w:val="22"/>
          <w:szCs w:val="22"/>
          <w:shd w:val="clear" w:color="auto" w:fill="FFFF00"/>
        </w:rPr>
      </w:pPr>
    </w:p>
    <w:p w14:paraId="02A98EA4" w14:textId="77777777" w:rsidR="00AF51F1" w:rsidRDefault="00AF51F1">
      <w:pPr>
        <w:contextualSpacing/>
        <w:rPr>
          <w:rFonts w:cs="Arial"/>
          <w:b/>
          <w:sz w:val="22"/>
          <w:szCs w:val="22"/>
          <w:shd w:val="clear" w:color="auto" w:fill="FFFF00"/>
        </w:rPr>
      </w:pPr>
    </w:p>
    <w:p w14:paraId="3DD1C8E7" w14:textId="77777777" w:rsidR="00AF51F1" w:rsidRDefault="00AF51F1">
      <w:pPr>
        <w:contextualSpacing/>
        <w:rPr>
          <w:rFonts w:cs="Arial"/>
          <w:b/>
          <w:sz w:val="22"/>
          <w:szCs w:val="22"/>
          <w:shd w:val="clear" w:color="auto" w:fill="FFFF00"/>
        </w:rPr>
      </w:pPr>
    </w:p>
    <w:p w14:paraId="34150D8C" w14:textId="77777777" w:rsidR="00AF51F1" w:rsidRDefault="00AF51F1">
      <w:pPr>
        <w:contextualSpacing/>
        <w:rPr>
          <w:rFonts w:cs="Arial"/>
          <w:b/>
          <w:sz w:val="22"/>
          <w:szCs w:val="22"/>
          <w:shd w:val="clear" w:color="auto" w:fill="FFFF00"/>
        </w:rPr>
      </w:pPr>
    </w:p>
    <w:p w14:paraId="26B57892" w14:textId="77777777" w:rsidR="00AF51F1" w:rsidRDefault="00AF51F1">
      <w:pPr>
        <w:contextualSpacing/>
        <w:rPr>
          <w:rFonts w:cs="Arial"/>
          <w:b/>
          <w:sz w:val="22"/>
          <w:szCs w:val="22"/>
          <w:shd w:val="clear" w:color="auto" w:fill="FFFF00"/>
        </w:rPr>
      </w:pPr>
    </w:p>
    <w:p w14:paraId="1ADF422C" w14:textId="77777777" w:rsidR="00AF51F1" w:rsidRDefault="00AF51F1">
      <w:pPr>
        <w:contextualSpacing/>
        <w:rPr>
          <w:rFonts w:cs="Arial"/>
          <w:b/>
          <w:sz w:val="22"/>
          <w:szCs w:val="22"/>
          <w:shd w:val="clear" w:color="auto" w:fill="FFFF00"/>
        </w:rPr>
      </w:pPr>
    </w:p>
    <w:p w14:paraId="01FA5041" w14:textId="77777777" w:rsidR="00AF51F1" w:rsidRDefault="00AF51F1">
      <w:pPr>
        <w:contextualSpacing/>
        <w:rPr>
          <w:rFonts w:cs="Arial"/>
          <w:b/>
          <w:sz w:val="22"/>
          <w:szCs w:val="22"/>
          <w:shd w:val="clear" w:color="auto" w:fill="FFFF00"/>
        </w:rPr>
      </w:pPr>
    </w:p>
    <w:p w14:paraId="7AE57EEA" w14:textId="77777777" w:rsidR="00AF51F1" w:rsidRDefault="00AF51F1">
      <w:pPr>
        <w:contextualSpacing/>
        <w:rPr>
          <w:rFonts w:cs="Arial"/>
          <w:b/>
          <w:sz w:val="22"/>
          <w:szCs w:val="22"/>
          <w:shd w:val="clear" w:color="auto" w:fill="FFFF00"/>
        </w:rPr>
      </w:pPr>
    </w:p>
    <w:p w14:paraId="5142C4C8" w14:textId="77777777" w:rsidR="00AF51F1" w:rsidRDefault="00AF51F1">
      <w:pPr>
        <w:contextualSpacing/>
        <w:rPr>
          <w:rFonts w:cs="Arial"/>
          <w:b/>
          <w:sz w:val="22"/>
          <w:szCs w:val="22"/>
          <w:shd w:val="clear" w:color="auto" w:fill="FFFF00"/>
        </w:rPr>
      </w:pPr>
    </w:p>
    <w:p w14:paraId="0983FB1C" w14:textId="77777777" w:rsidR="00AF51F1" w:rsidRDefault="00AF51F1">
      <w:pPr>
        <w:contextualSpacing/>
        <w:rPr>
          <w:rFonts w:cs="Arial"/>
          <w:b/>
          <w:sz w:val="22"/>
          <w:szCs w:val="22"/>
          <w:shd w:val="clear" w:color="auto" w:fill="FFFF00"/>
        </w:rPr>
      </w:pPr>
    </w:p>
    <w:p w14:paraId="27451B78" w14:textId="77777777" w:rsidR="00AF51F1" w:rsidRDefault="00AF51F1">
      <w:pPr>
        <w:contextualSpacing/>
        <w:rPr>
          <w:rFonts w:cs="Arial"/>
          <w:b/>
          <w:sz w:val="22"/>
          <w:szCs w:val="22"/>
          <w:shd w:val="clear" w:color="auto" w:fill="FFFF00"/>
        </w:rPr>
      </w:pPr>
    </w:p>
    <w:p w14:paraId="49896332" w14:textId="77777777" w:rsidR="00B84A6E" w:rsidRDefault="00B84A6E">
      <w:pPr>
        <w:suppressAutoHyphens w:val="0"/>
        <w:rPr>
          <w:b/>
          <w:bCs/>
          <w:sz w:val="22"/>
          <w:szCs w:val="20"/>
        </w:rPr>
      </w:pPr>
      <w:r>
        <w:rPr>
          <w:b/>
          <w:bCs/>
        </w:rPr>
        <w:br w:type="page"/>
      </w:r>
    </w:p>
    <w:p w14:paraId="0431F544" w14:textId="1C2EC6B2" w:rsidR="00AF51F1" w:rsidRDefault="00711D3C">
      <w:pPr>
        <w:pStyle w:val="09-Bodytext"/>
        <w:rPr>
          <w:b/>
          <w:bCs/>
        </w:rPr>
      </w:pPr>
      <w:r>
        <w:rPr>
          <w:b/>
          <w:bCs/>
        </w:rPr>
        <w:lastRenderedPageBreak/>
        <w:t>The Treasurer’s Responsibilities</w:t>
      </w:r>
    </w:p>
    <w:p w14:paraId="0B9AD54C" w14:textId="77777777" w:rsidR="00AF51F1" w:rsidRDefault="00AF51F1">
      <w:pPr>
        <w:contextualSpacing/>
        <w:rPr>
          <w:rFonts w:cs="Arial"/>
          <w:b/>
          <w:sz w:val="22"/>
          <w:szCs w:val="22"/>
        </w:rPr>
      </w:pPr>
    </w:p>
    <w:p w14:paraId="4DF582CD" w14:textId="77777777" w:rsidR="00AF51F1" w:rsidRDefault="00711D3C">
      <w:pPr>
        <w:pStyle w:val="09-Bodytext"/>
      </w:pPr>
      <w:r>
        <w:t>The Treasurer is responsible for the preparation of the Board’s Annual Accounts which, in terms of the CIPFA / LASAAC Code of Practice on Local Authority Accounting in the United Kingdom is required to present a true and fair view of the financial position of the Board at the accounting date, and its comprehensive income and expenditure for the financial year then ended.</w:t>
      </w:r>
    </w:p>
    <w:p w14:paraId="5EA7C32B" w14:textId="77777777" w:rsidR="00AF51F1" w:rsidRDefault="00AF51F1">
      <w:pPr>
        <w:pStyle w:val="09-Bodytext"/>
      </w:pPr>
    </w:p>
    <w:p w14:paraId="64F73A83" w14:textId="77777777" w:rsidR="00AF51F1" w:rsidRDefault="00711D3C">
      <w:pPr>
        <w:pStyle w:val="09-Bodytext"/>
      </w:pPr>
      <w:r>
        <w:t>In preparing the Annual Accounts, the Treasurer has:</w:t>
      </w:r>
    </w:p>
    <w:p w14:paraId="7B8C9106" w14:textId="77777777" w:rsidR="00AF51F1" w:rsidRDefault="00711D3C">
      <w:pPr>
        <w:pStyle w:val="09-Bodytext"/>
        <w:numPr>
          <w:ilvl w:val="0"/>
          <w:numId w:val="5"/>
        </w:numPr>
      </w:pPr>
      <w:r>
        <w:t xml:space="preserve">Selected suitable accounting policies, and applied them </w:t>
      </w:r>
      <w:proofErr w:type="gramStart"/>
      <w:r>
        <w:t>consistently;</w:t>
      </w:r>
      <w:proofErr w:type="gramEnd"/>
    </w:p>
    <w:p w14:paraId="5AA4806D" w14:textId="77777777" w:rsidR="00AF51F1" w:rsidRDefault="00711D3C">
      <w:pPr>
        <w:pStyle w:val="09-Bodytext"/>
        <w:numPr>
          <w:ilvl w:val="0"/>
          <w:numId w:val="5"/>
        </w:numPr>
      </w:pPr>
      <w:r>
        <w:t xml:space="preserve">Made judgements and estimates that were reasonable and </w:t>
      </w:r>
      <w:proofErr w:type="gramStart"/>
      <w:r>
        <w:t>prudent;</w:t>
      </w:r>
      <w:proofErr w:type="gramEnd"/>
    </w:p>
    <w:p w14:paraId="73DFA924" w14:textId="77777777" w:rsidR="00AF51F1" w:rsidRDefault="00711D3C">
      <w:pPr>
        <w:pStyle w:val="09-Bodytext"/>
        <w:numPr>
          <w:ilvl w:val="0"/>
          <w:numId w:val="5"/>
        </w:numPr>
      </w:pPr>
      <w:r>
        <w:t>Complied with legislation; and</w:t>
      </w:r>
    </w:p>
    <w:p w14:paraId="6668B839" w14:textId="77777777" w:rsidR="00AF51F1" w:rsidRDefault="00711D3C">
      <w:pPr>
        <w:pStyle w:val="09-Bodytext"/>
        <w:numPr>
          <w:ilvl w:val="0"/>
          <w:numId w:val="5"/>
        </w:numPr>
      </w:pPr>
      <w:r>
        <w:t>Complied with the Code of Practice on Local Authority Accounting in the United Kingdom.</w:t>
      </w:r>
    </w:p>
    <w:p w14:paraId="5A703D25" w14:textId="77777777" w:rsidR="00AF51F1" w:rsidRDefault="00AF51F1">
      <w:pPr>
        <w:rPr>
          <w:rFonts w:cs="Arial"/>
          <w:sz w:val="22"/>
          <w:szCs w:val="22"/>
        </w:rPr>
      </w:pPr>
    </w:p>
    <w:p w14:paraId="1EE69780" w14:textId="77777777" w:rsidR="00AF51F1" w:rsidRDefault="00711D3C">
      <w:pPr>
        <w:pStyle w:val="09-Bodytext"/>
      </w:pPr>
      <w:r>
        <w:t>The Treasurer has also:</w:t>
      </w:r>
    </w:p>
    <w:p w14:paraId="0F4EC1ED" w14:textId="77777777" w:rsidR="00AF51F1" w:rsidRDefault="00711D3C">
      <w:pPr>
        <w:pStyle w:val="09-Bodytext"/>
        <w:numPr>
          <w:ilvl w:val="0"/>
          <w:numId w:val="6"/>
        </w:numPr>
      </w:pPr>
      <w:r>
        <w:t>Kept proper accounting records which were up to date; and</w:t>
      </w:r>
    </w:p>
    <w:p w14:paraId="5B724BF5" w14:textId="77777777" w:rsidR="00AF51F1" w:rsidRDefault="00711D3C">
      <w:pPr>
        <w:pStyle w:val="09-Bodytext"/>
        <w:numPr>
          <w:ilvl w:val="0"/>
          <w:numId w:val="6"/>
        </w:numPr>
      </w:pPr>
      <w:r>
        <w:t>Taken reasonable steps for the prevention and detection of fraud and other irregularities.</w:t>
      </w:r>
    </w:p>
    <w:p w14:paraId="4AD8CBF2" w14:textId="77777777" w:rsidR="00AF51F1" w:rsidRDefault="00AF51F1">
      <w:pPr>
        <w:rPr>
          <w:rFonts w:cs="Arial"/>
          <w:sz w:val="22"/>
          <w:szCs w:val="22"/>
        </w:rPr>
      </w:pPr>
    </w:p>
    <w:p w14:paraId="7A14E9DD" w14:textId="77777777" w:rsidR="00AF51F1" w:rsidRDefault="00711D3C">
      <w:pPr>
        <w:pStyle w:val="09-Bodytext"/>
      </w:pPr>
      <w:r>
        <w:t xml:space="preserve">I certify that the financial statements give a true and fair view of the financial position of the Board </w:t>
      </w:r>
      <w:proofErr w:type="gramStart"/>
      <w:r>
        <w:t>at</w:t>
      </w:r>
      <w:proofErr w:type="gramEnd"/>
      <w:r>
        <w:t xml:space="preserve"> 31 March 2022, and its income and expenditure for the year ended 31 March 2022.</w:t>
      </w:r>
    </w:p>
    <w:p w14:paraId="0F5CB328" w14:textId="77777777" w:rsidR="00AF51F1" w:rsidRDefault="00AF51F1">
      <w:pPr>
        <w:contextualSpacing/>
        <w:rPr>
          <w:rFonts w:cs="Arial"/>
          <w:sz w:val="22"/>
          <w:szCs w:val="22"/>
          <w:lang w:eastAsia="en-GB"/>
        </w:rPr>
      </w:pPr>
    </w:p>
    <w:p w14:paraId="7251C059" w14:textId="016BF66C" w:rsidR="00AF51F1" w:rsidRDefault="003F400D">
      <w:pPr>
        <w:contextualSpacing/>
        <w:rPr>
          <w:rFonts w:cs="Arial"/>
          <w:sz w:val="22"/>
          <w:szCs w:val="22"/>
          <w:lang w:eastAsia="en-GB"/>
        </w:rPr>
      </w:pPr>
      <w:r>
        <w:rPr>
          <w:noProof/>
        </w:rPr>
        <w:drawing>
          <wp:inline distT="0" distB="0" distL="0" distR="0" wp14:anchorId="25D94C8D" wp14:editId="177DDC73">
            <wp:extent cx="2495550" cy="720937"/>
            <wp:effectExtent l="0" t="0" r="0" b="3175"/>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51630" cy="737138"/>
                    </a:xfrm>
                    <a:prstGeom prst="rect">
                      <a:avLst/>
                    </a:prstGeom>
                  </pic:spPr>
                </pic:pic>
              </a:graphicData>
            </a:graphic>
          </wp:inline>
        </w:drawing>
      </w:r>
    </w:p>
    <w:p w14:paraId="314E997E" w14:textId="77777777" w:rsidR="00AF51F1" w:rsidRDefault="00711D3C">
      <w:pPr>
        <w:pStyle w:val="09-Bodytext"/>
        <w:rPr>
          <w:b/>
          <w:bCs/>
        </w:rPr>
      </w:pPr>
      <w:r>
        <w:rPr>
          <w:b/>
          <w:bCs/>
        </w:rPr>
        <w:t>Paul Manning</w:t>
      </w:r>
    </w:p>
    <w:p w14:paraId="2F6350B0" w14:textId="77777777" w:rsidR="00AF51F1" w:rsidRDefault="00711D3C">
      <w:pPr>
        <w:pStyle w:val="09-Bodytext"/>
        <w:rPr>
          <w:b/>
          <w:bCs/>
        </w:rPr>
      </w:pPr>
      <w:r>
        <w:rPr>
          <w:b/>
          <w:bCs/>
        </w:rPr>
        <w:t>Treasurer of Lanarkshire Valuation Joint Board</w:t>
      </w:r>
    </w:p>
    <w:p w14:paraId="101B4895" w14:textId="77777777" w:rsidR="00AF51F1" w:rsidRDefault="00711D3C">
      <w:pPr>
        <w:pStyle w:val="09-Bodytext"/>
        <w:rPr>
          <w:b/>
          <w:bCs/>
        </w:rPr>
      </w:pPr>
      <w:r>
        <w:rPr>
          <w:b/>
          <w:bCs/>
        </w:rPr>
        <w:t>5 September 2022</w:t>
      </w:r>
    </w:p>
    <w:p w14:paraId="01BC2B0A" w14:textId="77777777" w:rsidR="00AF51F1" w:rsidRDefault="00AF51F1">
      <w:pPr>
        <w:contextualSpacing/>
        <w:rPr>
          <w:rFonts w:cs="Arial"/>
          <w:b/>
          <w:sz w:val="22"/>
          <w:szCs w:val="22"/>
          <w:shd w:val="clear" w:color="auto" w:fill="FFFF00"/>
        </w:rPr>
      </w:pPr>
    </w:p>
    <w:p w14:paraId="2ACBC6DF" w14:textId="77777777" w:rsidR="00AF51F1" w:rsidRDefault="00AF51F1">
      <w:pPr>
        <w:contextualSpacing/>
        <w:rPr>
          <w:rFonts w:cs="Arial"/>
          <w:b/>
          <w:sz w:val="22"/>
          <w:szCs w:val="22"/>
          <w:shd w:val="clear" w:color="auto" w:fill="FFFF00"/>
        </w:rPr>
      </w:pPr>
    </w:p>
    <w:p w14:paraId="6699213E" w14:textId="77777777" w:rsidR="00AF51F1" w:rsidRDefault="00AF51F1">
      <w:pPr>
        <w:contextualSpacing/>
        <w:rPr>
          <w:rFonts w:cs="Arial"/>
          <w:b/>
          <w:sz w:val="22"/>
          <w:szCs w:val="22"/>
          <w:shd w:val="clear" w:color="auto" w:fill="FFFF00"/>
        </w:rPr>
      </w:pPr>
    </w:p>
    <w:p w14:paraId="1B9D3C44" w14:textId="77777777" w:rsidR="00AF51F1" w:rsidRDefault="00AF51F1">
      <w:pPr>
        <w:contextualSpacing/>
        <w:rPr>
          <w:rFonts w:cs="Arial"/>
          <w:b/>
          <w:sz w:val="22"/>
          <w:szCs w:val="22"/>
          <w:shd w:val="clear" w:color="auto" w:fill="FFFF00"/>
        </w:rPr>
      </w:pPr>
    </w:p>
    <w:p w14:paraId="7A1DB007" w14:textId="77777777" w:rsidR="00AF51F1" w:rsidRDefault="00AF51F1">
      <w:pPr>
        <w:contextualSpacing/>
        <w:rPr>
          <w:rFonts w:cs="Arial"/>
          <w:b/>
          <w:sz w:val="22"/>
          <w:szCs w:val="22"/>
          <w:shd w:val="clear" w:color="auto" w:fill="FFFF00"/>
        </w:rPr>
      </w:pPr>
    </w:p>
    <w:p w14:paraId="5FF6E6A4" w14:textId="36AF4869" w:rsidR="00B84A6E" w:rsidRDefault="00B84A6E">
      <w:pPr>
        <w:suppressAutoHyphens w:val="0"/>
        <w:rPr>
          <w:rFonts w:cs="Arial"/>
          <w:b/>
          <w:sz w:val="22"/>
          <w:szCs w:val="22"/>
          <w:shd w:val="clear" w:color="auto" w:fill="FFFF00"/>
        </w:rPr>
      </w:pPr>
      <w:r>
        <w:rPr>
          <w:rFonts w:cs="Arial"/>
          <w:b/>
          <w:sz w:val="22"/>
          <w:szCs w:val="22"/>
          <w:shd w:val="clear" w:color="auto" w:fill="FFFF00"/>
        </w:rPr>
        <w:br w:type="page"/>
      </w:r>
    </w:p>
    <w:p w14:paraId="669E7955" w14:textId="77777777" w:rsidR="00AF51F1" w:rsidRDefault="00711D3C">
      <w:pPr>
        <w:pStyle w:val="Heading2"/>
        <w:spacing w:before="0" w:line="240" w:lineRule="auto"/>
        <w:rPr>
          <w:sz w:val="22"/>
          <w:szCs w:val="22"/>
        </w:rPr>
      </w:pPr>
      <w:r>
        <w:rPr>
          <w:sz w:val="22"/>
          <w:szCs w:val="22"/>
        </w:rPr>
        <w:lastRenderedPageBreak/>
        <w:t>Annual Governance Statement</w:t>
      </w:r>
    </w:p>
    <w:p w14:paraId="68A195E8" w14:textId="77777777" w:rsidR="00AF51F1" w:rsidRDefault="00711D3C">
      <w:pPr>
        <w:pStyle w:val="09-Bodytext"/>
      </w:pPr>
      <w:r>
        <w:br/>
        <w:t>This statement sets out the framework within which the Board has proper arrangements for the governance of the Board’s affairs, thereby facilitating the effective exercise of its functions, ensuring that appropriate arrangements are in place for the management of risk and appropriate systems of internal control are in place.  While the Board’s governance arrangements have not been consolidated in a formal Code of Corporate Governance, the Annual Governance Statement has been prepared within the context of the Board’s governance framework and meets legislative requirements to include the Annual Governance Statement with the Annual Accounts.  A consolidated Code of Corporate Governance was approved at the Board meeting of 4 March 2019.</w:t>
      </w:r>
    </w:p>
    <w:p w14:paraId="1A00D1EE" w14:textId="77777777" w:rsidR="00AF51F1" w:rsidRDefault="00711D3C">
      <w:pPr>
        <w:pStyle w:val="09-Bodytext"/>
        <w:rPr>
          <w:b/>
          <w:bCs/>
        </w:rPr>
      </w:pPr>
      <w:r>
        <w:rPr>
          <w:b/>
          <w:bCs/>
        </w:rPr>
        <w:br/>
        <w:t>Scope of Responsibility</w:t>
      </w:r>
    </w:p>
    <w:p w14:paraId="2C825979" w14:textId="77777777" w:rsidR="00AF51F1" w:rsidRDefault="00AF51F1">
      <w:pPr>
        <w:pStyle w:val="09-Bodytext"/>
      </w:pPr>
    </w:p>
    <w:p w14:paraId="1FAF51C6" w14:textId="77777777" w:rsidR="00AF51F1" w:rsidRDefault="00711D3C">
      <w:pPr>
        <w:pStyle w:val="09-Bodytext"/>
      </w:pPr>
      <w:r>
        <w:t xml:space="preserve">In delivering its aims and objectives, the Board is responsible for ensuring that its business is conducted in accordance with the law and proper standards, and that public money is safeguarded, properly accounted </w:t>
      </w:r>
      <w:proofErr w:type="gramStart"/>
      <w:r>
        <w:t>for</w:t>
      </w:r>
      <w:proofErr w:type="gramEnd"/>
      <w:r>
        <w:t xml:space="preserve"> and used economically, efficiently and effectively. The Board also has a statutory duty to </w:t>
      </w:r>
      <w:proofErr w:type="gramStart"/>
      <w:r>
        <w:t>make arrangements</w:t>
      </w:r>
      <w:proofErr w:type="gramEnd"/>
      <w:r>
        <w:t xml:space="preserve"> to secure best value under the Local Government in Scotland Act 2003.  In discharging this responsibility, the Board’s elected members and senior officers are responsible for putting in place proper arrangements for its affairs and facilitating the effective exercise of its functions, which includes arrangements for the management of risk.</w:t>
      </w:r>
    </w:p>
    <w:p w14:paraId="23E0D21A" w14:textId="77777777" w:rsidR="00AF51F1" w:rsidRDefault="00AF51F1">
      <w:pPr>
        <w:rPr>
          <w:rFonts w:cs="Arial"/>
          <w:sz w:val="22"/>
          <w:szCs w:val="22"/>
        </w:rPr>
      </w:pPr>
    </w:p>
    <w:p w14:paraId="02E8F9A1" w14:textId="77777777" w:rsidR="00AF51F1" w:rsidRDefault="00711D3C">
      <w:pPr>
        <w:pStyle w:val="09-Bodytext"/>
        <w:rPr>
          <w:b/>
          <w:bCs/>
        </w:rPr>
      </w:pPr>
      <w:r>
        <w:rPr>
          <w:b/>
          <w:bCs/>
        </w:rPr>
        <w:t>Governance Framework</w:t>
      </w:r>
    </w:p>
    <w:p w14:paraId="3EBD4239" w14:textId="77777777" w:rsidR="00AF51F1" w:rsidRDefault="00AF51F1">
      <w:pPr>
        <w:pStyle w:val="09-Bodytext"/>
      </w:pPr>
    </w:p>
    <w:p w14:paraId="7DA2490A" w14:textId="77777777" w:rsidR="00AF51F1" w:rsidRDefault="00711D3C">
      <w:pPr>
        <w:pStyle w:val="09-Bodytext"/>
      </w:pPr>
      <w:r>
        <w:t xml:space="preserve">The Board operates a system of internal control designed to manage risk to a reasonable level. Internal controls cannot eliminate all risk of failure to achieve policies, aims and objectives and can therefore only provide reasonable and not absolute assurance of effectiveness.  The system of internal control is based on an ongoing process designed to identify and prioritise the risks to the achievement of the Board’s policies, aims and objectives, to evaluate the likelihood of those risks being realised and the impact should they be realised, and to manage them efficiently, </w:t>
      </w:r>
      <w:proofErr w:type="gramStart"/>
      <w:r>
        <w:t>effectively</w:t>
      </w:r>
      <w:proofErr w:type="gramEnd"/>
      <w:r>
        <w:t xml:space="preserve"> and economically. </w:t>
      </w:r>
    </w:p>
    <w:p w14:paraId="55D90EA6" w14:textId="77777777" w:rsidR="00AF51F1" w:rsidRDefault="00AF51F1">
      <w:pPr>
        <w:pStyle w:val="09-Bodytext"/>
      </w:pPr>
    </w:p>
    <w:p w14:paraId="0313E6A0" w14:textId="77777777" w:rsidR="00AF51F1" w:rsidRDefault="00711D3C">
      <w:pPr>
        <w:pStyle w:val="09-Bodytext"/>
      </w:pPr>
      <w:r>
        <w:t>The main features of our governance arrangements are:</w:t>
      </w:r>
    </w:p>
    <w:p w14:paraId="2D834651" w14:textId="77777777" w:rsidR="00AF51F1" w:rsidRDefault="00711D3C">
      <w:pPr>
        <w:pStyle w:val="09-Bodytext"/>
        <w:numPr>
          <w:ilvl w:val="0"/>
          <w:numId w:val="7"/>
        </w:numPr>
      </w:pPr>
      <w:r>
        <w:t xml:space="preserve">Clearly defined Standing Orders, Scheme of Delegation and Financial Regulations and Tender </w:t>
      </w:r>
      <w:proofErr w:type="gramStart"/>
      <w:r>
        <w:t>Procedures;</w:t>
      </w:r>
      <w:proofErr w:type="gramEnd"/>
    </w:p>
    <w:p w14:paraId="202D6221" w14:textId="77777777" w:rsidR="00AF51F1" w:rsidRDefault="00711D3C">
      <w:pPr>
        <w:pStyle w:val="09-Bodytext"/>
        <w:numPr>
          <w:ilvl w:val="0"/>
          <w:numId w:val="7"/>
        </w:numPr>
      </w:pPr>
      <w:r>
        <w:t xml:space="preserve">Comprehensive business planning arrangements, setting key targets and action plans designed to achieve our corporate </w:t>
      </w:r>
      <w:proofErr w:type="gramStart"/>
      <w:r>
        <w:t>objectives;</w:t>
      </w:r>
      <w:proofErr w:type="gramEnd"/>
      <w:r>
        <w:t xml:space="preserve"> </w:t>
      </w:r>
    </w:p>
    <w:p w14:paraId="081A4829" w14:textId="77777777" w:rsidR="00AF51F1" w:rsidRDefault="00711D3C">
      <w:pPr>
        <w:pStyle w:val="09-Bodytext"/>
        <w:numPr>
          <w:ilvl w:val="0"/>
          <w:numId w:val="7"/>
        </w:numPr>
      </w:pPr>
      <w:r>
        <w:t xml:space="preserve">Arrangements to manage risk, including a risk management strategy and Corporate Risk Register and business continuity </w:t>
      </w:r>
      <w:proofErr w:type="gramStart"/>
      <w:r>
        <w:t>plans;</w:t>
      </w:r>
      <w:proofErr w:type="gramEnd"/>
    </w:p>
    <w:p w14:paraId="734EFAE6" w14:textId="77777777" w:rsidR="00AF51F1" w:rsidRDefault="00711D3C">
      <w:pPr>
        <w:pStyle w:val="09-Bodytext"/>
        <w:numPr>
          <w:ilvl w:val="0"/>
          <w:numId w:val="7"/>
        </w:numPr>
      </w:pPr>
      <w:r>
        <w:t xml:space="preserve">Clear customer complaints </w:t>
      </w:r>
      <w:proofErr w:type="gramStart"/>
      <w:r>
        <w:t>procedures;</w:t>
      </w:r>
      <w:proofErr w:type="gramEnd"/>
    </w:p>
    <w:p w14:paraId="37FC37A0" w14:textId="77777777" w:rsidR="00AF51F1" w:rsidRDefault="00711D3C">
      <w:pPr>
        <w:pStyle w:val="09-Bodytext"/>
        <w:numPr>
          <w:ilvl w:val="0"/>
          <w:numId w:val="7"/>
        </w:numPr>
      </w:pPr>
      <w:r>
        <w:t xml:space="preserve">Policies to regulate employee related matters, including the Employee Code of Conduct and Disciplinary Procedures; and </w:t>
      </w:r>
    </w:p>
    <w:p w14:paraId="61EEC885" w14:textId="77777777" w:rsidR="00AF51F1" w:rsidRDefault="00711D3C">
      <w:pPr>
        <w:pStyle w:val="09-Bodytext"/>
        <w:numPr>
          <w:ilvl w:val="0"/>
          <w:numId w:val="7"/>
        </w:numPr>
      </w:pPr>
      <w:r>
        <w:t>Regular public performance monitoring</w:t>
      </w:r>
    </w:p>
    <w:p w14:paraId="208F7687" w14:textId="77777777" w:rsidR="00AF51F1" w:rsidRPr="003A4DA1" w:rsidRDefault="00711D3C">
      <w:pPr>
        <w:pStyle w:val="09-Bodytext"/>
        <w:numPr>
          <w:ilvl w:val="0"/>
          <w:numId w:val="7"/>
        </w:numPr>
      </w:pPr>
      <w:r w:rsidRPr="003A4DA1">
        <w:t>There are a range of policies such as the Counter Fraud, Bribery and Corruption Policy Statement and Strategy, Fraud Response Plan, Whistleblowing for Third Parties and Confidential Reporting procedures.  These continue to be updated to reflect best practice and support a culture of ethical behaviour amongst employees and councillors.</w:t>
      </w:r>
    </w:p>
    <w:p w14:paraId="3AC2D536" w14:textId="77777777" w:rsidR="00AF51F1" w:rsidRDefault="00AF51F1">
      <w:pPr>
        <w:rPr>
          <w:rFonts w:cs="Arial"/>
          <w:sz w:val="22"/>
          <w:szCs w:val="22"/>
        </w:rPr>
      </w:pPr>
    </w:p>
    <w:p w14:paraId="5F7A4CFC" w14:textId="56AAEA0A" w:rsidR="00AF51F1" w:rsidRDefault="00711D3C">
      <w:pPr>
        <w:pStyle w:val="09-Bodytext"/>
      </w:pPr>
      <w:r>
        <w:t xml:space="preserve">As part of the overall control arrangements, the system of internal control is designed to ensure that assets are safeguarded, transactions are authorised and properly </w:t>
      </w:r>
      <w:proofErr w:type="gramStart"/>
      <w:r>
        <w:t>recorded</w:t>
      </w:r>
      <w:proofErr w:type="gramEnd"/>
      <w:r>
        <w:t xml:space="preserve"> and material errors are detected and corrected. This system is based on a framework of regular management information, financial regulations, administrative procedures (including </w:t>
      </w:r>
      <w:r>
        <w:lastRenderedPageBreak/>
        <w:t>segregation of duties), management and supervision, and a system of delegation and accountability.</w:t>
      </w:r>
    </w:p>
    <w:p w14:paraId="75E17266" w14:textId="64EE9B0E" w:rsidR="00BE4911" w:rsidRDefault="00BE4911">
      <w:pPr>
        <w:pStyle w:val="09-Bodytext"/>
      </w:pPr>
    </w:p>
    <w:p w14:paraId="77F679B7" w14:textId="77777777" w:rsidR="00AF51F1" w:rsidRDefault="00711D3C">
      <w:pPr>
        <w:pStyle w:val="09-Bodytext"/>
      </w:pPr>
      <w:r>
        <w:t>Development and maintenance of the system is undertaken by managers within the Board. In particular, the system includes:</w:t>
      </w:r>
    </w:p>
    <w:p w14:paraId="45A86115" w14:textId="77777777" w:rsidR="00AF51F1" w:rsidRDefault="00711D3C">
      <w:pPr>
        <w:pStyle w:val="09-Bodytext"/>
        <w:numPr>
          <w:ilvl w:val="0"/>
          <w:numId w:val="8"/>
        </w:numPr>
      </w:pPr>
      <w:r>
        <w:t xml:space="preserve">Financial management supported by Financial </w:t>
      </w:r>
      <w:proofErr w:type="gramStart"/>
      <w:r>
        <w:t>Regulations;</w:t>
      </w:r>
      <w:proofErr w:type="gramEnd"/>
    </w:p>
    <w:p w14:paraId="67A1495A" w14:textId="77777777" w:rsidR="00AF51F1" w:rsidRDefault="00711D3C">
      <w:pPr>
        <w:pStyle w:val="09-Bodytext"/>
        <w:numPr>
          <w:ilvl w:val="0"/>
          <w:numId w:val="8"/>
        </w:numPr>
      </w:pPr>
      <w:r>
        <w:t xml:space="preserve">Detailed budgeting </w:t>
      </w:r>
      <w:proofErr w:type="gramStart"/>
      <w:r>
        <w:t>systems;</w:t>
      </w:r>
      <w:proofErr w:type="gramEnd"/>
    </w:p>
    <w:p w14:paraId="31880306" w14:textId="77777777" w:rsidR="00AF51F1" w:rsidRDefault="00711D3C">
      <w:pPr>
        <w:pStyle w:val="09-Bodytext"/>
        <w:numPr>
          <w:ilvl w:val="0"/>
          <w:numId w:val="8"/>
        </w:numPr>
      </w:pPr>
      <w:r>
        <w:t xml:space="preserve">Regular reviews of periodic and annual financial reports which indicate financial performance against </w:t>
      </w:r>
      <w:proofErr w:type="gramStart"/>
      <w:r>
        <w:t>forecasts;</w:t>
      </w:r>
      <w:proofErr w:type="gramEnd"/>
    </w:p>
    <w:p w14:paraId="49E8C449" w14:textId="77777777" w:rsidR="00AF51F1" w:rsidRDefault="00711D3C">
      <w:pPr>
        <w:pStyle w:val="09-Bodytext"/>
        <w:numPr>
          <w:ilvl w:val="0"/>
          <w:numId w:val="8"/>
        </w:numPr>
      </w:pPr>
      <w:r>
        <w:t xml:space="preserve">Setting targets to measure performance, including financial </w:t>
      </w:r>
      <w:proofErr w:type="gramStart"/>
      <w:r>
        <w:t>performance;</w:t>
      </w:r>
      <w:proofErr w:type="gramEnd"/>
    </w:p>
    <w:p w14:paraId="01BF0CD3" w14:textId="77777777" w:rsidR="00AF51F1" w:rsidRDefault="00711D3C">
      <w:pPr>
        <w:pStyle w:val="09-Bodytext"/>
        <w:numPr>
          <w:ilvl w:val="0"/>
          <w:numId w:val="8"/>
        </w:numPr>
      </w:pPr>
      <w:r>
        <w:t>The preparation of regular financial reports that compare actual expenditure and income against forecasts.</w:t>
      </w:r>
    </w:p>
    <w:p w14:paraId="195BA823" w14:textId="77777777" w:rsidR="00AF51F1" w:rsidRDefault="00AF51F1">
      <w:pPr>
        <w:pStyle w:val="09-Bodytext"/>
      </w:pPr>
    </w:p>
    <w:p w14:paraId="6C4E0402" w14:textId="77777777" w:rsidR="00AF51F1" w:rsidRDefault="00711D3C">
      <w:pPr>
        <w:pStyle w:val="09-Bodytext"/>
      </w:pPr>
      <w:r>
        <w:t xml:space="preserve">South Lanarkshire Council is the administering authority.  All financial transactions of the Board are processed through the financial systems of the Council and are subject to the same controls and scrutiny as those of the Council.  This includes regular reviews by the Council’s Internal Audit Manager. </w:t>
      </w:r>
    </w:p>
    <w:p w14:paraId="07FCA18A" w14:textId="77777777" w:rsidR="00AF51F1" w:rsidRDefault="00AF51F1">
      <w:pPr>
        <w:pStyle w:val="09-Bodytext"/>
        <w:rPr>
          <w:rFonts w:cs="Arial"/>
          <w:szCs w:val="22"/>
        </w:rPr>
      </w:pPr>
    </w:p>
    <w:p w14:paraId="01CDD253" w14:textId="77777777" w:rsidR="00AF51F1" w:rsidRDefault="00711D3C">
      <w:pPr>
        <w:pStyle w:val="09-Bodytext"/>
        <w:rPr>
          <w:b/>
          <w:bCs/>
        </w:rPr>
      </w:pPr>
      <w:r>
        <w:rPr>
          <w:b/>
          <w:bCs/>
        </w:rPr>
        <w:t>CIPFA Financial Management Code</w:t>
      </w:r>
    </w:p>
    <w:p w14:paraId="500A6D8D" w14:textId="77777777" w:rsidR="00AF51F1" w:rsidRDefault="00AF51F1">
      <w:pPr>
        <w:pStyle w:val="09-Bodytext"/>
      </w:pPr>
    </w:p>
    <w:p w14:paraId="3B19AB4B" w14:textId="77777777" w:rsidR="00AF51F1" w:rsidRDefault="00711D3C">
      <w:pPr>
        <w:pStyle w:val="09-Bodytext"/>
      </w:pPr>
      <w:r>
        <w:t xml:space="preserve">The Chartered Institute of Finance and Public Accountancy (CIPFA) has introduced a Financial Management Code (the FM Code).  The FM Code provides “guidance for good and sustainable financial management in local authorities. By complying with the principles and standards within the code, authorities will be able to demonstrate their financial sustainability”.  A key goal of the FM Code is to improve the financial resilience of organisations by embedding enhanced standards of financial management.  </w:t>
      </w:r>
    </w:p>
    <w:p w14:paraId="62CD2A65" w14:textId="77777777" w:rsidR="00AF51F1" w:rsidRDefault="00AF51F1">
      <w:pPr>
        <w:pStyle w:val="09-Bodytext"/>
      </w:pPr>
    </w:p>
    <w:p w14:paraId="73E04FD6" w14:textId="77777777" w:rsidR="00AF51F1" w:rsidRDefault="00711D3C">
      <w:pPr>
        <w:pStyle w:val="09-Bodytext"/>
        <w:rPr>
          <w:iCs/>
        </w:rPr>
      </w:pPr>
      <w:r>
        <w:rPr>
          <w:iCs/>
        </w:rPr>
        <w:t>The Board reviewed the principles of the FM Code and carried out a self-assessment as part of its internal governance regime during 2020-2021.  This identified that the Board where appropriate had fully embedded all but 1 of the principles of the Code in its normal business.  An action was identified for the remaining principle which was to include a statement re the adequacy of reserves in the next budget strategy paper.   The refreshed Budget Strategy covering the period to end 2025/2026 was presented to the Board in June 2022.  This included reference to the level of Reserves and a plan for their use moving forward.</w:t>
      </w:r>
    </w:p>
    <w:p w14:paraId="7F63BB33" w14:textId="77777777" w:rsidR="00AF51F1" w:rsidRDefault="00AF51F1">
      <w:pPr>
        <w:pStyle w:val="09-Bodytext"/>
        <w:rPr>
          <w:shd w:val="clear" w:color="auto" w:fill="FFFF00"/>
        </w:rPr>
      </w:pPr>
    </w:p>
    <w:p w14:paraId="30119A79" w14:textId="77777777" w:rsidR="00AF51F1" w:rsidRDefault="00711D3C">
      <w:pPr>
        <w:pStyle w:val="09-Bodytext"/>
        <w:rPr>
          <w:b/>
          <w:bCs/>
        </w:rPr>
      </w:pPr>
      <w:r>
        <w:rPr>
          <w:b/>
          <w:bCs/>
        </w:rPr>
        <w:t>Review of Effectiveness</w:t>
      </w:r>
    </w:p>
    <w:p w14:paraId="2E5FF30B" w14:textId="77777777" w:rsidR="00AF51F1" w:rsidRDefault="00AF51F1">
      <w:pPr>
        <w:pStyle w:val="09-Bodytext"/>
        <w:rPr>
          <w:shd w:val="clear" w:color="auto" w:fill="FFFF00"/>
        </w:rPr>
      </w:pPr>
    </w:p>
    <w:p w14:paraId="31FBB3BB" w14:textId="77777777" w:rsidR="00AF51F1" w:rsidRDefault="00711D3C">
      <w:pPr>
        <w:pStyle w:val="09-Bodytext"/>
      </w:pPr>
      <w:r>
        <w:t>The Board purchases an internal audit service from South Lanarkshire Council, through a Service Level Agreement.  The role of Internal Audit is to provide an independent audit opinion on the adequacy and effectiveness of the Board’s governance, risk management and internal control systems based on audit work undertaken in the year.</w:t>
      </w:r>
    </w:p>
    <w:p w14:paraId="202AD265" w14:textId="77777777" w:rsidR="00AF51F1" w:rsidRDefault="00AF51F1">
      <w:pPr>
        <w:pStyle w:val="09-Bodytext"/>
      </w:pPr>
    </w:p>
    <w:p w14:paraId="25D62EC8" w14:textId="77777777" w:rsidR="00AF51F1" w:rsidRDefault="00711D3C">
      <w:pPr>
        <w:pStyle w:val="09-Bodytext"/>
      </w:pPr>
      <w:r>
        <w:t>The internal audit service provided to the Board operates in accordance with the Public Sector Internal Audit Standards (revised 2017). A rolling programme of audits are undertaken on an annual basis targeted at the areas of greatest risk.</w:t>
      </w:r>
    </w:p>
    <w:p w14:paraId="24CD6A14" w14:textId="77777777" w:rsidR="00AF51F1" w:rsidRDefault="00AF51F1">
      <w:pPr>
        <w:pStyle w:val="09-Bodytext"/>
      </w:pPr>
    </w:p>
    <w:p w14:paraId="776B3650" w14:textId="77777777" w:rsidR="00AF51F1" w:rsidRDefault="00711D3C">
      <w:pPr>
        <w:pStyle w:val="09-Bodytext"/>
      </w:pPr>
      <w:r>
        <w:t>The Internal Audit Manager provides an annual report to the Board and an audit opinion on the adequacy and effectiveness of the Board’s governance, risk management and internal control systems based on audit work undertaken in the year. The annual report for 2021/2022 was presented to the Board on 27 June 2022. The Internal Audit Manager’s annual assurance statement concluded that a reasonable level of assurance can be placed on the adequacy and effectiveness of the Board’s framework of governance, risk management and control arrangements for the year ended 31 March 2022.</w:t>
      </w:r>
    </w:p>
    <w:p w14:paraId="670F8BFA" w14:textId="77777777" w:rsidR="00AF51F1" w:rsidRDefault="00AF51F1">
      <w:pPr>
        <w:rPr>
          <w:rFonts w:cs="Arial"/>
          <w:sz w:val="22"/>
          <w:szCs w:val="22"/>
        </w:rPr>
      </w:pPr>
    </w:p>
    <w:p w14:paraId="12592771" w14:textId="77777777" w:rsidR="00AF51F1" w:rsidRDefault="00711D3C">
      <w:pPr>
        <w:pStyle w:val="09-Bodytext"/>
        <w:spacing w:line="20" w:lineRule="atLeast"/>
        <w:rPr>
          <w:b/>
          <w:bCs/>
        </w:rPr>
      </w:pPr>
      <w:r>
        <w:rPr>
          <w:b/>
          <w:bCs/>
        </w:rPr>
        <w:lastRenderedPageBreak/>
        <w:t>Statement on the Role of the Chief Financial Officer</w:t>
      </w:r>
    </w:p>
    <w:p w14:paraId="014AE475" w14:textId="77777777" w:rsidR="00AF51F1" w:rsidRDefault="00AF51F1">
      <w:pPr>
        <w:pStyle w:val="09-Bodytext"/>
        <w:spacing w:line="20" w:lineRule="atLeast"/>
      </w:pPr>
    </w:p>
    <w:p w14:paraId="312B1E24" w14:textId="77777777" w:rsidR="00AF51F1" w:rsidRDefault="00711D3C">
      <w:pPr>
        <w:pStyle w:val="09-Bodytext"/>
        <w:spacing w:line="20" w:lineRule="atLeast"/>
      </w:pPr>
      <w:r>
        <w:t>CIPFA published the statement on the role of the Chief Financial Officer in 2010 and under the Code, the Board is required to state whether it complies with the statement, and if not, to explain how their governance arrangements deliver the same impact.</w:t>
      </w:r>
    </w:p>
    <w:p w14:paraId="5E30296A" w14:textId="77777777" w:rsidR="00AF51F1" w:rsidRDefault="00AF51F1">
      <w:pPr>
        <w:pStyle w:val="09-Bodytext"/>
        <w:spacing w:line="20" w:lineRule="atLeast"/>
      </w:pPr>
    </w:p>
    <w:p w14:paraId="78B1A0C8" w14:textId="77777777" w:rsidR="00AF51F1" w:rsidRDefault="00711D3C">
      <w:pPr>
        <w:pStyle w:val="09-Bodytext"/>
        <w:spacing w:line="20" w:lineRule="atLeast"/>
      </w:pPr>
      <w:r>
        <w:t>The Board’s financial management arrangements comply with the principles set out in CIPFA’s statement on the Role of the Chief Financial Officer.</w:t>
      </w:r>
    </w:p>
    <w:p w14:paraId="517215F0" w14:textId="77777777" w:rsidR="00AF51F1" w:rsidRDefault="00AF51F1">
      <w:pPr>
        <w:spacing w:line="20" w:lineRule="atLeast"/>
        <w:rPr>
          <w:rFonts w:cs="Arial"/>
          <w:sz w:val="22"/>
          <w:szCs w:val="22"/>
        </w:rPr>
      </w:pPr>
    </w:p>
    <w:p w14:paraId="20C066A4" w14:textId="77777777" w:rsidR="00AF51F1" w:rsidRDefault="00711D3C">
      <w:pPr>
        <w:pStyle w:val="09-Bodytext"/>
        <w:spacing w:line="20" w:lineRule="atLeast"/>
        <w:rPr>
          <w:b/>
          <w:bCs/>
        </w:rPr>
      </w:pPr>
      <w:r>
        <w:rPr>
          <w:b/>
          <w:bCs/>
        </w:rPr>
        <w:t>Continuous Improvement</w:t>
      </w:r>
    </w:p>
    <w:p w14:paraId="102E5BE0" w14:textId="77777777" w:rsidR="00AF51F1" w:rsidRDefault="00AF51F1">
      <w:pPr>
        <w:spacing w:line="20" w:lineRule="atLeast"/>
        <w:rPr>
          <w:rFonts w:cs="Arial"/>
          <w:b/>
          <w:sz w:val="22"/>
          <w:szCs w:val="22"/>
        </w:rPr>
      </w:pPr>
    </w:p>
    <w:p w14:paraId="5D875FFD" w14:textId="77777777" w:rsidR="00AF51F1" w:rsidRDefault="00711D3C">
      <w:pPr>
        <w:pStyle w:val="09-Bodytext"/>
        <w:spacing w:line="20" w:lineRule="atLeast"/>
      </w:pPr>
      <w:r>
        <w:t xml:space="preserve">As part of the annual audit review, recommendations are provided which not only assist management to improve their control environment, but also provide an assessment of the adequacy of existing systems and procedures, including highlighting any necessary improvements to maintain and improve the Board’s governance arrangements going forward.  The external auditor’s report, </w:t>
      </w:r>
      <w:hyperlink r:id="rId14" w:history="1">
        <w:r>
          <w:rPr>
            <w:color w:val="0000FF"/>
            <w:u w:val="single"/>
          </w:rPr>
          <w:t>Audit Scotland Annual Report 2020/2021</w:t>
        </w:r>
      </w:hyperlink>
      <w:r>
        <w:t>, did not identify any Governance actions for implementation during 2021/2022.</w:t>
      </w:r>
    </w:p>
    <w:p w14:paraId="2D7A4EEB" w14:textId="77777777" w:rsidR="00AF51F1" w:rsidRDefault="00AF51F1">
      <w:pPr>
        <w:rPr>
          <w:rFonts w:cs="Arial"/>
          <w:sz w:val="22"/>
          <w:szCs w:val="22"/>
          <w:shd w:val="clear" w:color="auto" w:fill="FFFF00"/>
        </w:rPr>
      </w:pPr>
    </w:p>
    <w:p w14:paraId="48325753" w14:textId="77777777" w:rsidR="00AF51F1" w:rsidRDefault="00711D3C">
      <w:pPr>
        <w:pStyle w:val="09-Bodytext"/>
        <w:rPr>
          <w:b/>
          <w:bCs/>
        </w:rPr>
      </w:pPr>
      <w:r>
        <w:rPr>
          <w:b/>
          <w:bCs/>
        </w:rPr>
        <w:t>Coronavirus Pandemic</w:t>
      </w:r>
    </w:p>
    <w:p w14:paraId="4E4CEFB5" w14:textId="77777777" w:rsidR="00AF51F1" w:rsidRDefault="00AF51F1">
      <w:pPr>
        <w:pStyle w:val="09-Bodytext"/>
      </w:pPr>
    </w:p>
    <w:p w14:paraId="7894C373" w14:textId="77777777" w:rsidR="00AF51F1" w:rsidRDefault="00711D3C">
      <w:pPr>
        <w:pStyle w:val="09-Bodytext"/>
        <w:rPr>
          <w:rFonts w:cs="Arial"/>
        </w:rPr>
      </w:pPr>
      <w:r>
        <w:rPr>
          <w:rFonts w:cs="Arial"/>
        </w:rPr>
        <w:t xml:space="preserve">Whilst there has been a return to some form of normality, the risks associated with the pandemic remain. New working practices have evolved as a result of, in particular, the lockdowns introduced countrywide; working practices such as undertaking tasks from home, sourcing more information digitally, and using electronic communications </w:t>
      </w:r>
      <w:proofErr w:type="gramStart"/>
      <w:r>
        <w:rPr>
          <w:rFonts w:cs="Arial"/>
        </w:rPr>
        <w:t>where</w:t>
      </w:r>
      <w:proofErr w:type="gramEnd"/>
      <w:r>
        <w:rPr>
          <w:rFonts w:cs="Arial"/>
        </w:rPr>
        <w:t xml:space="preserve"> deemed appropriate, have been introduced over the last two years. With blended working arrangements now in place involving working </w:t>
      </w:r>
      <w:proofErr w:type="spellStart"/>
      <w:r>
        <w:rPr>
          <w:rFonts w:cs="Arial"/>
        </w:rPr>
        <w:t>some time</w:t>
      </w:r>
      <w:proofErr w:type="spellEnd"/>
      <w:r>
        <w:rPr>
          <w:rFonts w:cs="Arial"/>
        </w:rPr>
        <w:t xml:space="preserve"> within the office and some time from home, the risks against service failure associated with the pandemic escalating again are somewhat mitigated against.</w:t>
      </w:r>
    </w:p>
    <w:p w14:paraId="7E1B04AA" w14:textId="77777777" w:rsidR="00AF51F1" w:rsidRDefault="00AF51F1">
      <w:pPr>
        <w:pStyle w:val="09-Bodytext"/>
        <w:rPr>
          <w:rFonts w:cs="Arial"/>
        </w:rPr>
      </w:pPr>
    </w:p>
    <w:p w14:paraId="6D8EF18E" w14:textId="77777777" w:rsidR="00AF51F1" w:rsidRDefault="00711D3C">
      <w:pPr>
        <w:pStyle w:val="09-Bodytext"/>
      </w:pPr>
      <w:r>
        <w:rPr>
          <w:rFonts w:cs="Arial"/>
        </w:rPr>
        <w:t>One of the main impacts on LVJB’s operations of the pandemic was the inability to carry out site visits for council tax, non-domestic changes, and electoral matters. Such visits have resumed, with appropriate safety guidance, and as such should contribute to our organisation’s ability to maintain as accurately and complete as possible the Valuation Roll, Council Tax List and Electoral Registers. LVJB’s staff are to be commended again on their ability to adapt to changing processes to ensure that all statutory functions are carried out.</w:t>
      </w:r>
    </w:p>
    <w:p w14:paraId="1FD5C1E9" w14:textId="77777777" w:rsidR="00AF51F1" w:rsidRDefault="00AF51F1">
      <w:pPr>
        <w:rPr>
          <w:rFonts w:cs="Arial"/>
          <w:b/>
          <w:sz w:val="22"/>
          <w:szCs w:val="22"/>
          <w:shd w:val="clear" w:color="auto" w:fill="FFFF00"/>
        </w:rPr>
      </w:pPr>
    </w:p>
    <w:p w14:paraId="667CBBB8" w14:textId="77777777" w:rsidR="00AF51F1" w:rsidRDefault="00711D3C">
      <w:pPr>
        <w:pStyle w:val="09-Bodytext"/>
        <w:rPr>
          <w:b/>
          <w:bCs/>
        </w:rPr>
      </w:pPr>
      <w:r>
        <w:rPr>
          <w:b/>
          <w:bCs/>
        </w:rPr>
        <w:t>Assurance</w:t>
      </w:r>
    </w:p>
    <w:p w14:paraId="5A3A64E6" w14:textId="77777777" w:rsidR="00AF51F1" w:rsidRDefault="00AF51F1">
      <w:pPr>
        <w:pStyle w:val="09-Bodytext"/>
      </w:pPr>
    </w:p>
    <w:p w14:paraId="0D3DAA58" w14:textId="77777777" w:rsidR="00AF51F1" w:rsidRDefault="00711D3C">
      <w:pPr>
        <w:pStyle w:val="09-Bodytext"/>
      </w:pPr>
      <w:r>
        <w:t>In conclusion, there were no significant weaknesses identified in the Annual Audit Report relating to improvements requiring action in 2021/2022.  Systems are in place to continually review and improve the control environment and governance arrangements operated by the Board.</w:t>
      </w:r>
    </w:p>
    <w:p w14:paraId="11BC9CD5" w14:textId="77777777" w:rsidR="00AF51F1" w:rsidRDefault="00AF51F1">
      <w:pPr>
        <w:pStyle w:val="09-Bodytext"/>
      </w:pPr>
    </w:p>
    <w:p w14:paraId="0BD946F6" w14:textId="77777777" w:rsidR="00AF51F1" w:rsidRDefault="00711D3C">
      <w:pPr>
        <w:pStyle w:val="09-Bodytext"/>
      </w:pPr>
      <w:r>
        <w:t>The effectiveness of governance is dependent on the actions of officers of the Board and by the work of Internal and External audit.  It is the Board’s view that the governance arrangements were effective during financial year 2021/2022.</w:t>
      </w:r>
    </w:p>
    <w:p w14:paraId="7D1F2869" w14:textId="0D632CE3" w:rsidR="00BE4A88" w:rsidRDefault="007B115F">
      <w:pPr>
        <w:pStyle w:val="09-Bodytext"/>
        <w:rPr>
          <w:b/>
          <w:bCs/>
        </w:rPr>
      </w:pPr>
      <w:r>
        <w:rPr>
          <w:noProof/>
        </w:rPr>
        <w:drawing>
          <wp:anchor distT="0" distB="0" distL="0" distR="0" simplePos="0" relativeHeight="251665408" behindDoc="0" locked="0" layoutInCell="1" allowOverlap="1" wp14:anchorId="30BDC2DA" wp14:editId="32A4E486">
            <wp:simplePos x="0" y="0"/>
            <wp:positionH relativeFrom="margin">
              <wp:posOffset>0</wp:posOffset>
            </wp:positionH>
            <wp:positionV relativeFrom="paragraph">
              <wp:posOffset>160020</wp:posOffset>
            </wp:positionV>
            <wp:extent cx="1814195" cy="365760"/>
            <wp:effectExtent l="0" t="0" r="0" b="0"/>
            <wp:wrapSquare wrapText="bothSides"/>
            <wp:docPr id="7" name="image3.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3.jpeg">
                      <a:extLst>
                        <a:ext uri="{C183D7F6-B498-43B3-948B-1728B52AA6E4}">
                          <adec:decorative xmlns:adec="http://schemas.microsoft.com/office/drawing/2017/decorative" val="1"/>
                        </a:ext>
                      </a:extLst>
                    </pic:cNvPr>
                    <pic:cNvPicPr/>
                  </pic:nvPicPr>
                  <pic:blipFill>
                    <a:blip r:embed="rId10" cstate="print"/>
                    <a:stretch>
                      <a:fillRect/>
                    </a:stretch>
                  </pic:blipFill>
                  <pic:spPr>
                    <a:xfrm>
                      <a:off x="0" y="0"/>
                      <a:ext cx="1814195" cy="365760"/>
                    </a:xfrm>
                    <a:prstGeom prst="rect">
                      <a:avLst/>
                    </a:prstGeom>
                  </pic:spPr>
                </pic:pic>
              </a:graphicData>
            </a:graphic>
            <wp14:sizeRelH relativeFrom="margin">
              <wp14:pctWidth>0</wp14:pctWidth>
            </wp14:sizeRelH>
            <wp14:sizeRelV relativeFrom="margin">
              <wp14:pctHeight>0</wp14:pctHeight>
            </wp14:sizeRelV>
          </wp:anchor>
        </w:drawing>
      </w:r>
    </w:p>
    <w:p w14:paraId="4BB93B60" w14:textId="6A275CBE" w:rsidR="00BE4A88" w:rsidRDefault="00BE4A88" w:rsidP="007B115F">
      <w:pPr>
        <w:pStyle w:val="09-Bodytext"/>
        <w:jc w:val="right"/>
        <w:rPr>
          <w:b/>
          <w:bCs/>
        </w:rPr>
      </w:pPr>
      <w:r>
        <w:rPr>
          <w:b/>
          <w:bCs/>
        </w:rPr>
        <w:tab/>
      </w:r>
      <w:r>
        <w:rPr>
          <w:b/>
          <w:bCs/>
        </w:rPr>
        <w:tab/>
      </w:r>
      <w:r>
        <w:rPr>
          <w:b/>
          <w:bCs/>
        </w:rPr>
        <w:tab/>
      </w:r>
      <w:r w:rsidRPr="00BE4A88">
        <w:rPr>
          <w:b/>
          <w:bCs/>
          <w:noProof/>
        </w:rPr>
        <w:drawing>
          <wp:inline distT="0" distB="0" distL="0" distR="0" wp14:anchorId="4B4691B5" wp14:editId="527ED4A9">
            <wp:extent cx="2491740" cy="495300"/>
            <wp:effectExtent l="0" t="0" r="381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2"/>
                    <a:stretch>
                      <a:fillRect/>
                    </a:stretch>
                  </pic:blipFill>
                  <pic:spPr>
                    <a:xfrm>
                      <a:off x="0" y="0"/>
                      <a:ext cx="2492092" cy="495370"/>
                    </a:xfrm>
                    <a:prstGeom prst="rect">
                      <a:avLst/>
                    </a:prstGeom>
                  </pic:spPr>
                </pic:pic>
              </a:graphicData>
            </a:graphic>
          </wp:inline>
        </w:drawing>
      </w:r>
    </w:p>
    <w:p w14:paraId="49CB7F82" w14:textId="08AAA344" w:rsidR="00AF51F1" w:rsidRPr="001B3A5E" w:rsidRDefault="00711D3C">
      <w:pPr>
        <w:pStyle w:val="09-Bodytext"/>
        <w:rPr>
          <w:b/>
          <w:bCs/>
        </w:rPr>
      </w:pPr>
      <w:r w:rsidRPr="001B3A5E">
        <w:rPr>
          <w:b/>
          <w:bCs/>
        </w:rPr>
        <w:t>Gary Bennett</w:t>
      </w:r>
      <w:r w:rsidR="001B3A5E" w:rsidRPr="001B3A5E">
        <w:rPr>
          <w:b/>
          <w:bCs/>
        </w:rPr>
        <w:tab/>
      </w:r>
      <w:r w:rsidR="001B3A5E" w:rsidRPr="001B3A5E">
        <w:rPr>
          <w:b/>
          <w:bCs/>
        </w:rPr>
        <w:tab/>
      </w:r>
      <w:r w:rsidR="001B3A5E" w:rsidRPr="001B3A5E">
        <w:rPr>
          <w:b/>
          <w:bCs/>
        </w:rPr>
        <w:tab/>
      </w:r>
      <w:r w:rsidR="001B3A5E" w:rsidRPr="001B3A5E">
        <w:rPr>
          <w:b/>
          <w:bCs/>
        </w:rPr>
        <w:tab/>
      </w:r>
      <w:r w:rsidR="009C35E1" w:rsidRPr="001B3A5E">
        <w:rPr>
          <w:b/>
          <w:bCs/>
        </w:rPr>
        <w:tab/>
      </w:r>
      <w:r w:rsidR="003A4DA1" w:rsidRPr="001B3A5E">
        <w:rPr>
          <w:b/>
          <w:bCs/>
        </w:rPr>
        <w:tab/>
      </w:r>
      <w:r w:rsidR="009C35E1" w:rsidRPr="001B3A5E">
        <w:rPr>
          <w:b/>
          <w:bCs/>
        </w:rPr>
        <w:t>Councillor Walter Brogan</w:t>
      </w:r>
    </w:p>
    <w:p w14:paraId="1EE77F56" w14:textId="203CE74F" w:rsidR="00AF51F1" w:rsidRPr="001B3A5E" w:rsidRDefault="00711D3C">
      <w:pPr>
        <w:pStyle w:val="09-Bodytext"/>
        <w:rPr>
          <w:b/>
          <w:bCs/>
        </w:rPr>
      </w:pPr>
      <w:r w:rsidRPr="001B3A5E">
        <w:rPr>
          <w:b/>
          <w:bCs/>
        </w:rPr>
        <w:t>Assessor and E</w:t>
      </w:r>
      <w:r w:rsidR="009C35E1" w:rsidRPr="001B3A5E">
        <w:rPr>
          <w:b/>
          <w:bCs/>
        </w:rPr>
        <w:t>R</w:t>
      </w:r>
      <w:r w:rsidRPr="001B3A5E">
        <w:rPr>
          <w:b/>
          <w:bCs/>
        </w:rPr>
        <w:t xml:space="preserve"> Officer</w:t>
      </w:r>
      <w:r w:rsidR="009C35E1" w:rsidRPr="001B3A5E">
        <w:rPr>
          <w:b/>
          <w:bCs/>
        </w:rPr>
        <w:tab/>
      </w:r>
      <w:r w:rsidR="009C35E1" w:rsidRPr="001B3A5E">
        <w:rPr>
          <w:b/>
          <w:bCs/>
        </w:rPr>
        <w:tab/>
      </w:r>
      <w:r w:rsidR="009C35E1" w:rsidRPr="001B3A5E">
        <w:rPr>
          <w:b/>
          <w:bCs/>
        </w:rPr>
        <w:tab/>
      </w:r>
      <w:r w:rsidR="009C35E1" w:rsidRPr="001B3A5E">
        <w:rPr>
          <w:b/>
          <w:bCs/>
        </w:rPr>
        <w:tab/>
        <w:t>Convenor</w:t>
      </w:r>
    </w:p>
    <w:p w14:paraId="2F937E9E" w14:textId="5092C347" w:rsidR="00AF51F1" w:rsidRDefault="00711D3C">
      <w:pPr>
        <w:pStyle w:val="09-Bodytext"/>
        <w:rPr>
          <w:b/>
          <w:bCs/>
        </w:rPr>
      </w:pPr>
      <w:r w:rsidRPr="001B3A5E">
        <w:rPr>
          <w:b/>
          <w:bCs/>
        </w:rPr>
        <w:t>5 September 2022</w:t>
      </w:r>
      <w:r w:rsidR="009C35E1" w:rsidRPr="001B3A5E">
        <w:rPr>
          <w:b/>
          <w:bCs/>
        </w:rPr>
        <w:tab/>
      </w:r>
      <w:r w:rsidR="009C35E1" w:rsidRPr="001B3A5E">
        <w:rPr>
          <w:b/>
          <w:bCs/>
        </w:rPr>
        <w:tab/>
      </w:r>
      <w:r w:rsidR="009C35E1" w:rsidRPr="001B3A5E">
        <w:rPr>
          <w:b/>
          <w:bCs/>
        </w:rPr>
        <w:tab/>
      </w:r>
      <w:r w:rsidR="009C35E1" w:rsidRPr="001B3A5E">
        <w:rPr>
          <w:b/>
          <w:bCs/>
        </w:rPr>
        <w:tab/>
      </w:r>
      <w:r w:rsidR="009C35E1" w:rsidRPr="001B3A5E">
        <w:rPr>
          <w:b/>
          <w:bCs/>
        </w:rPr>
        <w:tab/>
        <w:t>5 September 2022</w:t>
      </w:r>
    </w:p>
    <w:p w14:paraId="486D3F9A" w14:textId="77777777" w:rsidR="00AF51F1" w:rsidRDefault="00AF51F1">
      <w:pPr>
        <w:pStyle w:val="09-Bodytext"/>
        <w:rPr>
          <w:b/>
          <w:bCs/>
        </w:rPr>
      </w:pPr>
    </w:p>
    <w:p w14:paraId="036ACB58" w14:textId="77777777" w:rsidR="00AF51F1" w:rsidRDefault="00711D3C" w:rsidP="001B3A5E">
      <w:pPr>
        <w:pStyle w:val="Heading2"/>
        <w:pageBreakBefore/>
        <w:spacing w:line="240" w:lineRule="auto"/>
        <w:contextualSpacing/>
        <w:rPr>
          <w:sz w:val="22"/>
          <w:szCs w:val="22"/>
        </w:rPr>
      </w:pPr>
      <w:r>
        <w:rPr>
          <w:sz w:val="22"/>
          <w:szCs w:val="22"/>
        </w:rPr>
        <w:lastRenderedPageBreak/>
        <w:t>Remuneration Report</w:t>
      </w:r>
    </w:p>
    <w:p w14:paraId="669E0199" w14:textId="77777777" w:rsidR="001B3A5E" w:rsidRDefault="001B3A5E" w:rsidP="001B3A5E">
      <w:pPr>
        <w:pStyle w:val="09-Bodytext"/>
        <w:contextualSpacing/>
      </w:pPr>
    </w:p>
    <w:p w14:paraId="49318717" w14:textId="5B01942A" w:rsidR="00AF51F1" w:rsidRDefault="00711D3C" w:rsidP="001B3A5E">
      <w:pPr>
        <w:pStyle w:val="09-Bodytext"/>
        <w:contextualSpacing/>
      </w:pPr>
      <w:r>
        <w:t>The remuneration report provides details of the Board’s remuneration policy for senior Board members and senior employees</w:t>
      </w:r>
      <w:r>
        <w:rPr>
          <w:b/>
        </w:rPr>
        <w:t xml:space="preserve">.  </w:t>
      </w:r>
    </w:p>
    <w:p w14:paraId="0C186669" w14:textId="77777777" w:rsidR="00AF51F1" w:rsidRDefault="00AF51F1">
      <w:pPr>
        <w:pStyle w:val="09-Bodytext"/>
        <w:contextualSpacing/>
        <w:rPr>
          <w:b/>
        </w:rPr>
      </w:pPr>
    </w:p>
    <w:p w14:paraId="1F1D7096" w14:textId="77777777" w:rsidR="00AF51F1" w:rsidRDefault="00711D3C">
      <w:pPr>
        <w:pStyle w:val="09-Bodytext"/>
        <w:contextualSpacing/>
        <w:rPr>
          <w:b/>
        </w:rPr>
      </w:pPr>
      <w:r>
        <w:rPr>
          <w:b/>
        </w:rPr>
        <w:t>Introduction</w:t>
      </w:r>
    </w:p>
    <w:p w14:paraId="4774E4F0" w14:textId="77777777" w:rsidR="00AF51F1" w:rsidRDefault="00AF51F1">
      <w:pPr>
        <w:pStyle w:val="09-Bodytext"/>
        <w:rPr>
          <w:b/>
        </w:rPr>
      </w:pPr>
    </w:p>
    <w:p w14:paraId="6A7F98BC" w14:textId="77777777" w:rsidR="00AF51F1" w:rsidRDefault="00711D3C">
      <w:pPr>
        <w:pStyle w:val="09-Bodytext"/>
      </w:pPr>
      <w:r>
        <w:t>The Remuneration Report has been prepared in accordance with the Local Authority Accounts (Scotland) Regulations 1985 (as amended by the Local Authority Accounts (Scotland) Regulations 2014.  These Regulations require various disclosures about the remuneration and pension benefits of senior Board members and senior employees.</w:t>
      </w:r>
    </w:p>
    <w:p w14:paraId="3C13646D" w14:textId="77777777" w:rsidR="00AF51F1" w:rsidRDefault="00AF51F1">
      <w:pPr>
        <w:pStyle w:val="09-Bodytext"/>
      </w:pPr>
    </w:p>
    <w:p w14:paraId="4F00744D" w14:textId="77777777" w:rsidR="00AF51F1" w:rsidRDefault="00711D3C">
      <w:pPr>
        <w:pStyle w:val="09-Bodytext"/>
      </w:pPr>
      <w:r>
        <w:t>All information disclosed in tables 1 – 3 and 5 and 6 in this Remuneration Report and details of exit packages have been audited by Audit Scotland. The other sections of the Remuneration Report have been reviewed by Audit Scotland to ensure that they are consistent with the financial statements.</w:t>
      </w:r>
    </w:p>
    <w:p w14:paraId="5F7A8B7B" w14:textId="77777777" w:rsidR="00AF51F1" w:rsidRDefault="00AF51F1">
      <w:pPr>
        <w:pStyle w:val="09-Bodytext"/>
        <w:rPr>
          <w:b/>
        </w:rPr>
      </w:pPr>
    </w:p>
    <w:p w14:paraId="7B45E1E5" w14:textId="77777777" w:rsidR="00AF51F1" w:rsidRDefault="00711D3C">
      <w:pPr>
        <w:pStyle w:val="09-Bodytext"/>
        <w:rPr>
          <w:b/>
        </w:rPr>
      </w:pPr>
      <w:r>
        <w:rPr>
          <w:b/>
        </w:rPr>
        <w:t>Senior Employees</w:t>
      </w:r>
    </w:p>
    <w:p w14:paraId="42F803D4" w14:textId="77777777" w:rsidR="00AF51F1" w:rsidRDefault="00711D3C">
      <w:pPr>
        <w:pStyle w:val="09-Bodytext"/>
      </w:pPr>
      <w:r>
        <w:t>The remuneration of senior employees is set by reference to national arrangements.  The Scottish Joint Negotiating Committee (SJNC) for Local Authority Services sets the salaries for the Chief Officers of Scottish local authorities.  Circular CO/151 sets the amount of salary for Chief Officers for 2021/2022.</w:t>
      </w:r>
    </w:p>
    <w:p w14:paraId="3FB7BCC0" w14:textId="77777777" w:rsidR="00AF51F1" w:rsidRDefault="00AF51F1">
      <w:pPr>
        <w:pStyle w:val="09-Bodytext"/>
      </w:pPr>
    </w:p>
    <w:p w14:paraId="06D0D856" w14:textId="77777777" w:rsidR="00AF51F1" w:rsidRDefault="00711D3C">
      <w:pPr>
        <w:pStyle w:val="09-Bodytext"/>
        <w:rPr>
          <w:b/>
        </w:rPr>
      </w:pPr>
      <w:r>
        <w:rPr>
          <w:b/>
        </w:rPr>
        <w:t>Senior Councillors</w:t>
      </w:r>
    </w:p>
    <w:p w14:paraId="150812C4" w14:textId="77777777" w:rsidR="00AF51F1" w:rsidRDefault="00711D3C">
      <w:pPr>
        <w:pStyle w:val="09-Bodytext"/>
      </w:pPr>
      <w:r>
        <w:t>The Convenor and Depute Convenor of the Lanarkshire Valuation Joint Board are remunerated by the Council of which they are a council member, as shown in Table 3.</w:t>
      </w:r>
    </w:p>
    <w:p w14:paraId="71C4B387" w14:textId="77777777" w:rsidR="00AF51F1" w:rsidRDefault="00AF51F1">
      <w:pPr>
        <w:pStyle w:val="09-Bodytext"/>
      </w:pPr>
    </w:p>
    <w:p w14:paraId="22284971" w14:textId="77777777" w:rsidR="00AF51F1" w:rsidRDefault="00711D3C">
      <w:pPr>
        <w:pStyle w:val="09-Bodytext"/>
      </w:pPr>
      <w:r>
        <w:t>The remuneration of councillors is regulated by the Local Governance (Scotland) Act 2004 (Remuneration) Regulations 2007 (SSI No. 2007/183) as amended most recently by the Local Governance (Scotland) Act 2004 (Remuneration) Amendment Regulations 2020 (SSI 2020/26).  The Regulations provide for the grading of Councillors for the purposes of remuneration arrangements, as either the Leader of the Council, the Provost, Senior Councillors or Councillors.  These regulations also set out the amounts a councillor may be paid for being a Convenor or Depute Convenor of a Joint Board.  This is inclusive of any amount payable to them as either a Councillor or Senior Councillor.</w:t>
      </w:r>
    </w:p>
    <w:p w14:paraId="7E963037" w14:textId="77777777" w:rsidR="00AF51F1" w:rsidRDefault="00AF51F1">
      <w:pPr>
        <w:pStyle w:val="09-Bodytext"/>
      </w:pPr>
    </w:p>
    <w:p w14:paraId="62C4A8B6" w14:textId="77777777" w:rsidR="00AF51F1" w:rsidRDefault="00711D3C">
      <w:pPr>
        <w:pStyle w:val="09-Bodytext"/>
      </w:pPr>
      <w:r>
        <w:t>The Board has an arrangement with each Council who remunerates the Convenor and Depute Convenor/s to reimburse the Council for the additional costs of that councillor arising from them being a Convenor or Depute Convenor of the Board. The disclosures made in this report are limited to the amounts paid to the Council by the Board for remuneration and does not reflect the full value of the remuneration that may be paid to the councillor.</w:t>
      </w:r>
    </w:p>
    <w:p w14:paraId="2D893C57" w14:textId="77777777" w:rsidR="00AF51F1" w:rsidRDefault="00AF51F1">
      <w:pPr>
        <w:pStyle w:val="09-Bodytext"/>
      </w:pPr>
    </w:p>
    <w:p w14:paraId="04DC9081" w14:textId="77777777" w:rsidR="00AF51F1" w:rsidRDefault="00711D3C">
      <w:pPr>
        <w:pStyle w:val="09-Bodytext"/>
        <w:rPr>
          <w:b/>
        </w:rPr>
      </w:pPr>
      <w:r>
        <w:rPr>
          <w:b/>
        </w:rPr>
        <w:t>Trade Unions (Facility Time Publication Requirements) Regulations 2017</w:t>
      </w:r>
    </w:p>
    <w:p w14:paraId="1CA04F80" w14:textId="77777777" w:rsidR="00AF51F1" w:rsidRDefault="00711D3C">
      <w:pPr>
        <w:pStyle w:val="09-Bodytext"/>
      </w:pPr>
      <w:r>
        <w:t>In addition to the regulations governing senior employees and councillors, the Trade Union (Facility Time Publication Requirements) Regulations 2017, which applied from 1 April 2017, require public sector employers to collect and publish a range of information on trade union facility time in respect of their employees who are Trade Union Representatives.  This information is available on the Board’s website.</w:t>
      </w:r>
    </w:p>
    <w:p w14:paraId="4D16A28A" w14:textId="77777777" w:rsidR="00AF51F1" w:rsidRDefault="00AF51F1">
      <w:pPr>
        <w:pStyle w:val="09-Bodytext"/>
      </w:pPr>
    </w:p>
    <w:p w14:paraId="78665515" w14:textId="77777777" w:rsidR="00AF51F1" w:rsidRDefault="00711D3C">
      <w:pPr>
        <w:pStyle w:val="09-Bodytext"/>
      </w:pPr>
      <w:r>
        <w:t>There are no employees within the Board who are Trade Union Representatives, as noted on the Board’s website.</w:t>
      </w:r>
    </w:p>
    <w:p w14:paraId="08DAF560" w14:textId="77777777" w:rsidR="00AF51F1" w:rsidRDefault="00711D3C">
      <w:pPr>
        <w:pStyle w:val="09-Bodytext"/>
        <w:pageBreakBefore/>
        <w:rPr>
          <w:b/>
          <w:bCs/>
        </w:rPr>
      </w:pPr>
      <w:r>
        <w:rPr>
          <w:b/>
          <w:bCs/>
        </w:rPr>
        <w:lastRenderedPageBreak/>
        <w:t>General Pay Bands for Senior Employees</w:t>
      </w:r>
    </w:p>
    <w:p w14:paraId="53042955" w14:textId="77777777" w:rsidR="00AF51F1" w:rsidRDefault="00711D3C">
      <w:pPr>
        <w:pStyle w:val="09-Bodytext"/>
        <w:spacing w:line="20" w:lineRule="atLeast"/>
      </w:pPr>
      <w:r>
        <w:t xml:space="preserve">The number of officers who received remuneration (excluding pension contributions) </w:t>
      </w:r>
      <w:proofErr w:type="gramStart"/>
      <w:r>
        <w:t>in excess of</w:t>
      </w:r>
      <w:proofErr w:type="gramEnd"/>
      <w:r>
        <w:t xml:space="preserve"> £50,000 for the financial year is shown in Table 1:</w:t>
      </w:r>
    </w:p>
    <w:p w14:paraId="61B28A54" w14:textId="77777777" w:rsidR="00AF51F1" w:rsidRDefault="00711D3C">
      <w:pPr>
        <w:pStyle w:val="09-Bodytext"/>
        <w:spacing w:line="20" w:lineRule="atLeast"/>
        <w:rPr>
          <w:b/>
          <w:bCs/>
        </w:rPr>
      </w:pPr>
      <w:r>
        <w:rPr>
          <w:b/>
          <w:bCs/>
        </w:rPr>
        <w:br/>
        <w:t>Table 1 - General Pay Band Disclosure for Senior Employees</w:t>
      </w:r>
    </w:p>
    <w:p w14:paraId="19719A4D" w14:textId="77777777" w:rsidR="00AF51F1" w:rsidRDefault="00AF51F1">
      <w:pPr>
        <w:pStyle w:val="09-Bodytext"/>
        <w:spacing w:line="20" w:lineRule="atLeast"/>
        <w:rPr>
          <w:shd w:val="clear" w:color="auto" w:fill="FFFF00"/>
        </w:rPr>
      </w:pPr>
    </w:p>
    <w:tbl>
      <w:tblPr>
        <w:tblW w:w="6232" w:type="dxa"/>
        <w:tblCellMar>
          <w:left w:w="10" w:type="dxa"/>
          <w:right w:w="10" w:type="dxa"/>
        </w:tblCellMar>
        <w:tblLook w:val="0000" w:firstRow="0" w:lastRow="0" w:firstColumn="0" w:lastColumn="0" w:noHBand="0" w:noVBand="0"/>
      </w:tblPr>
      <w:tblGrid>
        <w:gridCol w:w="3114"/>
        <w:gridCol w:w="1559"/>
        <w:gridCol w:w="1559"/>
      </w:tblGrid>
      <w:tr w:rsidR="00AF51F1" w14:paraId="5768951A" w14:textId="77777777">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93106" w14:textId="77777777" w:rsidR="00AF51F1" w:rsidRDefault="00711D3C">
            <w:pPr>
              <w:pStyle w:val="09-Bodytext"/>
              <w:rPr>
                <w:b/>
                <w:bCs/>
              </w:rPr>
            </w:pPr>
            <w:r>
              <w:rPr>
                <w:b/>
                <w:bCs/>
              </w:rPr>
              <w:t xml:space="preserve"> Annual Remuneration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A7DBC" w14:textId="77777777" w:rsidR="00AF51F1" w:rsidRDefault="00711D3C">
            <w:pPr>
              <w:pStyle w:val="09-Bodytext"/>
              <w:jc w:val="right"/>
              <w:rPr>
                <w:b/>
                <w:bCs/>
              </w:rPr>
            </w:pPr>
            <w:r>
              <w:rPr>
                <w:b/>
                <w:bCs/>
              </w:rPr>
              <w:t>Number of Employees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5664DF" w14:textId="77777777" w:rsidR="00AF51F1" w:rsidRDefault="00711D3C">
            <w:pPr>
              <w:pStyle w:val="09-Bodytext"/>
              <w:jc w:val="right"/>
              <w:rPr>
                <w:b/>
                <w:bCs/>
              </w:rPr>
            </w:pPr>
            <w:r>
              <w:rPr>
                <w:b/>
                <w:bCs/>
              </w:rPr>
              <w:t>Number of Employees</w:t>
            </w:r>
          </w:p>
        </w:tc>
      </w:tr>
      <w:tr w:rsidR="00AF51F1" w14:paraId="3F0EBE60" w14:textId="77777777">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CFB55" w14:textId="77777777" w:rsidR="00AF51F1" w:rsidRDefault="00711D3C">
            <w:pPr>
              <w:pStyle w:val="09-Bodytext"/>
              <w:jc w:val="center"/>
              <w:rPr>
                <w:b/>
                <w:bCs/>
              </w:rPr>
            </w:pPr>
            <w:r>
              <w:rPr>
                <w:b/>
                <w:bCs/>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2D381" w14:textId="77777777" w:rsidR="00AF51F1" w:rsidRDefault="00711D3C">
            <w:pPr>
              <w:pStyle w:val="09-Bodytext"/>
              <w:jc w:val="right"/>
              <w:rPr>
                <w:b/>
                <w:bCs/>
              </w:rPr>
            </w:pPr>
            <w:r>
              <w:rPr>
                <w:b/>
                <w:bCs/>
              </w:rPr>
              <w:t>2021/22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8DDB8" w14:textId="77777777" w:rsidR="00AF51F1" w:rsidRDefault="00711D3C">
            <w:pPr>
              <w:pStyle w:val="09-Bodytext"/>
              <w:jc w:val="right"/>
              <w:rPr>
                <w:b/>
                <w:bCs/>
              </w:rPr>
            </w:pPr>
            <w:r>
              <w:rPr>
                <w:b/>
                <w:bCs/>
              </w:rPr>
              <w:t>2020/21</w:t>
            </w:r>
          </w:p>
        </w:tc>
      </w:tr>
      <w:tr w:rsidR="00AF51F1" w14:paraId="7CB1A25E" w14:textId="77777777">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A3D3F" w14:textId="77777777" w:rsidR="00AF51F1" w:rsidRDefault="00711D3C">
            <w:pPr>
              <w:pStyle w:val="09-Bodytext"/>
            </w:pPr>
            <w:r>
              <w:t>50,000 – 54,999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C6198" w14:textId="77777777" w:rsidR="00AF51F1" w:rsidRDefault="00711D3C">
            <w:pPr>
              <w:pStyle w:val="09-Bodytext"/>
              <w:jc w:val="right"/>
            </w:pPr>
            <w:r>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8D78B" w14:textId="77777777" w:rsidR="00AF51F1" w:rsidRDefault="00711D3C">
            <w:pPr>
              <w:pStyle w:val="09-Bodytext"/>
              <w:jc w:val="right"/>
            </w:pPr>
            <w:r>
              <w:t>2</w:t>
            </w:r>
          </w:p>
        </w:tc>
      </w:tr>
      <w:tr w:rsidR="00AF51F1" w14:paraId="3AE18332" w14:textId="77777777">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EFD2A" w14:textId="77777777" w:rsidR="00AF51F1" w:rsidRDefault="00711D3C">
            <w:pPr>
              <w:pStyle w:val="09-Bodytext"/>
            </w:pPr>
            <w:r>
              <w:t>55,000 – 59,999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313CA" w14:textId="77777777" w:rsidR="00AF51F1" w:rsidRDefault="00711D3C">
            <w:pPr>
              <w:pStyle w:val="09-Bodytext"/>
              <w:jc w:val="right"/>
            </w:pPr>
            <w: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B1CEC" w14:textId="77777777" w:rsidR="00AF51F1" w:rsidRDefault="00711D3C">
            <w:pPr>
              <w:pStyle w:val="09-Bodytext"/>
              <w:jc w:val="right"/>
            </w:pPr>
            <w:r>
              <w:t>0</w:t>
            </w:r>
          </w:p>
        </w:tc>
      </w:tr>
      <w:tr w:rsidR="00AF51F1" w14:paraId="55B614A1" w14:textId="77777777">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2D992" w14:textId="77777777" w:rsidR="00AF51F1" w:rsidRDefault="00711D3C">
            <w:pPr>
              <w:pStyle w:val="09-Bodytext"/>
            </w:pPr>
            <w:r>
              <w:t>60,000 – 64,999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1B005" w14:textId="77777777" w:rsidR="00AF51F1" w:rsidRDefault="00711D3C">
            <w:pPr>
              <w:pStyle w:val="09-Bodytext"/>
              <w:jc w:val="right"/>
            </w:pPr>
            <w: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AA4ED" w14:textId="77777777" w:rsidR="00AF51F1" w:rsidRDefault="00711D3C">
            <w:pPr>
              <w:pStyle w:val="09-Bodytext"/>
              <w:jc w:val="right"/>
            </w:pPr>
            <w:r>
              <w:t>2</w:t>
            </w:r>
          </w:p>
        </w:tc>
      </w:tr>
      <w:tr w:rsidR="00AF51F1" w14:paraId="011BE77C" w14:textId="77777777">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239FB" w14:textId="77777777" w:rsidR="00AF51F1" w:rsidRDefault="00711D3C">
            <w:pPr>
              <w:pStyle w:val="09-Bodytext"/>
            </w:pPr>
            <w:r>
              <w:t>65,000 – 69,999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735B1" w14:textId="77777777" w:rsidR="00AF51F1" w:rsidRDefault="00711D3C">
            <w:pPr>
              <w:pStyle w:val="09-Bodytext"/>
              <w:jc w:val="right"/>
            </w:pPr>
            <w: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3832B" w14:textId="77777777" w:rsidR="00AF51F1" w:rsidRDefault="00711D3C">
            <w:pPr>
              <w:pStyle w:val="09-Bodytext"/>
              <w:jc w:val="right"/>
            </w:pPr>
            <w:r>
              <w:t>0</w:t>
            </w:r>
          </w:p>
        </w:tc>
      </w:tr>
      <w:tr w:rsidR="00AF51F1" w14:paraId="17C74505" w14:textId="77777777">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C31E0" w14:textId="77777777" w:rsidR="00AF51F1" w:rsidRDefault="00711D3C">
            <w:pPr>
              <w:pStyle w:val="09-Bodytext"/>
            </w:pPr>
            <w:r>
              <w:t>70,000 – 74,999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623032" w14:textId="77777777" w:rsidR="00AF51F1" w:rsidRDefault="00711D3C">
            <w:pPr>
              <w:pStyle w:val="09-Bodytext"/>
              <w:jc w:val="right"/>
            </w:pPr>
            <w: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FE0FE" w14:textId="77777777" w:rsidR="00AF51F1" w:rsidRDefault="00711D3C">
            <w:pPr>
              <w:pStyle w:val="09-Bodytext"/>
              <w:jc w:val="right"/>
            </w:pPr>
            <w:r>
              <w:t>2</w:t>
            </w:r>
          </w:p>
        </w:tc>
      </w:tr>
      <w:tr w:rsidR="00AF51F1" w14:paraId="00404649" w14:textId="77777777">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F9500" w14:textId="77777777" w:rsidR="00AF51F1" w:rsidRDefault="00711D3C">
            <w:pPr>
              <w:pStyle w:val="09-Bodytext"/>
            </w:pPr>
            <w:r>
              <w:t xml:space="preserve">75,000 – </w:t>
            </w:r>
            <w:proofErr w:type="gramStart"/>
            <w:r>
              <w:t>114,999  (</w:t>
            </w:r>
            <w:proofErr w:type="gramEnd"/>
            <w:r>
              <w:t>Note 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40614" w14:textId="77777777" w:rsidR="00AF51F1" w:rsidRDefault="00711D3C">
            <w:pPr>
              <w:pStyle w:val="09-Bodytext"/>
              <w:jc w:val="right"/>
            </w:pPr>
            <w: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A0862" w14:textId="77777777" w:rsidR="00AF51F1" w:rsidRDefault="00711D3C">
            <w:pPr>
              <w:pStyle w:val="09-Bodytext"/>
              <w:jc w:val="right"/>
            </w:pPr>
            <w:r>
              <w:t>0</w:t>
            </w:r>
          </w:p>
        </w:tc>
      </w:tr>
      <w:tr w:rsidR="00AF51F1" w14:paraId="5978B594" w14:textId="77777777">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51837" w14:textId="77777777" w:rsidR="00AF51F1" w:rsidRDefault="00711D3C">
            <w:pPr>
              <w:pStyle w:val="09-Bodytext"/>
            </w:pPr>
            <w:r>
              <w:t>115,000 – 119,999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ECA93" w14:textId="77777777" w:rsidR="00AF51F1" w:rsidRDefault="00711D3C">
            <w:pPr>
              <w:pStyle w:val="09-Bodytext"/>
              <w:jc w:val="right"/>
            </w:pPr>
            <w: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E5467" w14:textId="77777777" w:rsidR="00AF51F1" w:rsidRDefault="00711D3C">
            <w:pPr>
              <w:pStyle w:val="09-Bodytext"/>
              <w:jc w:val="right"/>
            </w:pPr>
            <w:r>
              <w:t>1</w:t>
            </w:r>
          </w:p>
        </w:tc>
      </w:tr>
    </w:tbl>
    <w:p w14:paraId="06DAD785" w14:textId="77777777" w:rsidR="00AF51F1" w:rsidRDefault="00711D3C">
      <w:pPr>
        <w:pStyle w:val="09-Bodytext"/>
        <w:rPr>
          <w:i/>
          <w:iCs/>
          <w:sz w:val="20"/>
        </w:rPr>
      </w:pPr>
      <w:r>
        <w:rPr>
          <w:i/>
          <w:iCs/>
          <w:sz w:val="20"/>
        </w:rPr>
        <w:t xml:space="preserve">Note 1:  These are merged pay bands covering more than £5,000 </w:t>
      </w:r>
      <w:proofErr w:type="gramStart"/>
      <w:r>
        <w:rPr>
          <w:i/>
          <w:iCs/>
          <w:sz w:val="20"/>
        </w:rPr>
        <w:t>due to the fact that</w:t>
      </w:r>
      <w:proofErr w:type="gramEnd"/>
      <w:r>
        <w:rPr>
          <w:i/>
          <w:iCs/>
          <w:sz w:val="20"/>
        </w:rPr>
        <w:t xml:space="preserve"> no employees fell into these bands in either financial year.</w:t>
      </w:r>
    </w:p>
    <w:p w14:paraId="148ABA3F" w14:textId="77777777" w:rsidR="00AF51F1" w:rsidRDefault="00AF51F1">
      <w:pPr>
        <w:pStyle w:val="09-Bodytext"/>
        <w:rPr>
          <w:shd w:val="clear" w:color="auto" w:fill="FFFF00"/>
        </w:rPr>
      </w:pPr>
    </w:p>
    <w:p w14:paraId="2917CDD1" w14:textId="77777777" w:rsidR="00AF51F1" w:rsidRDefault="00711D3C">
      <w:pPr>
        <w:pStyle w:val="09-Bodytext"/>
        <w:rPr>
          <w:b/>
          <w:bCs/>
        </w:rPr>
      </w:pPr>
      <w:r>
        <w:rPr>
          <w:b/>
          <w:bCs/>
        </w:rPr>
        <w:t>Disclosure of Remuneration</w:t>
      </w:r>
    </w:p>
    <w:p w14:paraId="113F96FB" w14:textId="77777777" w:rsidR="00AF51F1" w:rsidRDefault="00711D3C">
      <w:pPr>
        <w:pStyle w:val="09-Bodytext"/>
      </w:pPr>
      <w:r>
        <w:t>Tables 2 and 3 provide details of the remuneration paid to the Board’s senior employees, Convenor and Depute Convenor.  Comparative figures for 2020/2021 have been shown.</w:t>
      </w:r>
    </w:p>
    <w:p w14:paraId="4F8FDCAC" w14:textId="77777777" w:rsidR="00AF51F1" w:rsidRDefault="00AF51F1">
      <w:pPr>
        <w:pStyle w:val="09-Bodytext"/>
      </w:pPr>
    </w:p>
    <w:p w14:paraId="5D1182E2" w14:textId="77777777" w:rsidR="00AF51F1" w:rsidRDefault="00711D3C">
      <w:pPr>
        <w:pStyle w:val="09-Bodytext"/>
        <w:rPr>
          <w:b/>
          <w:bCs/>
        </w:rPr>
      </w:pPr>
      <w:r>
        <w:rPr>
          <w:b/>
          <w:bCs/>
        </w:rPr>
        <w:t>Table 2 – Senior Employees</w:t>
      </w:r>
    </w:p>
    <w:p w14:paraId="03D6EE20" w14:textId="77777777" w:rsidR="00AF51F1" w:rsidRDefault="00AF51F1">
      <w:pPr>
        <w:spacing w:after="160"/>
        <w:contextualSpacing/>
        <w:rPr>
          <w:rFonts w:cs="Arial"/>
          <w:b/>
          <w:sz w:val="22"/>
          <w:szCs w:val="22"/>
          <w:shd w:val="clear" w:color="auto" w:fill="FFFF00"/>
        </w:rPr>
      </w:pPr>
    </w:p>
    <w:tbl>
      <w:tblPr>
        <w:tblW w:w="10916" w:type="dxa"/>
        <w:tblInd w:w="-856" w:type="dxa"/>
        <w:tblLayout w:type="fixed"/>
        <w:tblCellMar>
          <w:left w:w="10" w:type="dxa"/>
          <w:right w:w="10" w:type="dxa"/>
        </w:tblCellMar>
        <w:tblLook w:val="0000" w:firstRow="0" w:lastRow="0" w:firstColumn="0" w:lastColumn="0" w:noHBand="0" w:noVBand="0"/>
      </w:tblPr>
      <w:tblGrid>
        <w:gridCol w:w="2552"/>
        <w:gridCol w:w="1134"/>
        <w:gridCol w:w="1276"/>
        <w:gridCol w:w="1843"/>
        <w:gridCol w:w="1701"/>
        <w:gridCol w:w="1134"/>
        <w:gridCol w:w="1276"/>
      </w:tblGrid>
      <w:tr w:rsidR="00AF51F1" w14:paraId="25A93D0B"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9E2D1" w14:textId="77777777" w:rsidR="00AF51F1" w:rsidRDefault="00711D3C">
            <w:pPr>
              <w:spacing w:after="160"/>
              <w:contextualSpacing/>
            </w:pPr>
            <w:r>
              <w:rPr>
                <w:rFonts w:cs="Arial"/>
                <w:b/>
                <w:sz w:val="22"/>
                <w:szCs w:val="22"/>
              </w:rPr>
              <w:t>Name / Post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F57AC" w14:textId="77777777" w:rsidR="00AF51F1" w:rsidRDefault="00711D3C">
            <w:pPr>
              <w:spacing w:after="160"/>
              <w:contextualSpacing/>
              <w:jc w:val="right"/>
            </w:pPr>
            <w:r>
              <w:rPr>
                <w:rFonts w:cs="Arial"/>
                <w:b/>
                <w:sz w:val="22"/>
                <w:szCs w:val="22"/>
              </w:rPr>
              <w:t>Salary / Fees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342F7" w14:textId="77777777" w:rsidR="00AF51F1" w:rsidRDefault="00711D3C">
            <w:pPr>
              <w:spacing w:after="160"/>
              <w:contextualSpacing/>
              <w:jc w:val="right"/>
            </w:pPr>
            <w:r>
              <w:rPr>
                <w:rFonts w:cs="Arial"/>
                <w:b/>
                <w:sz w:val="22"/>
                <w:szCs w:val="22"/>
              </w:rPr>
              <w:t>Taxable Expenses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CE3A2" w14:textId="77777777" w:rsidR="00AF51F1" w:rsidRDefault="00711D3C">
            <w:pPr>
              <w:spacing w:after="160"/>
              <w:contextualSpacing/>
              <w:jc w:val="right"/>
            </w:pPr>
            <w:r>
              <w:rPr>
                <w:rFonts w:cs="Arial"/>
                <w:b/>
                <w:sz w:val="22"/>
                <w:szCs w:val="22"/>
              </w:rPr>
              <w:t>Compensation for Loss of Office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598E3" w14:textId="77777777" w:rsidR="00AF51F1" w:rsidRDefault="00711D3C">
            <w:pPr>
              <w:spacing w:after="160"/>
              <w:contextualSpacing/>
              <w:jc w:val="right"/>
            </w:pPr>
            <w:r>
              <w:rPr>
                <w:rFonts w:cs="Arial"/>
                <w:b/>
                <w:sz w:val="22"/>
                <w:szCs w:val="22"/>
              </w:rPr>
              <w:t>Any other Remuneration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730E7" w14:textId="77777777" w:rsidR="00AF51F1" w:rsidRDefault="00711D3C">
            <w:pPr>
              <w:spacing w:after="160"/>
              <w:contextualSpacing/>
              <w:jc w:val="right"/>
            </w:pPr>
            <w:r>
              <w:rPr>
                <w:rFonts w:cs="Arial"/>
                <w:b/>
                <w:sz w:val="22"/>
                <w:szCs w:val="22"/>
              </w:rPr>
              <w:t>2021/22 Total</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BF240" w14:textId="77777777" w:rsidR="00AF51F1" w:rsidRDefault="00711D3C">
            <w:pPr>
              <w:spacing w:after="160"/>
              <w:contextualSpacing/>
              <w:jc w:val="right"/>
            </w:pPr>
            <w:r>
              <w:rPr>
                <w:rFonts w:cs="Arial"/>
                <w:b/>
                <w:sz w:val="22"/>
                <w:szCs w:val="22"/>
              </w:rPr>
              <w:t>2020/21 Total</w:t>
            </w:r>
          </w:p>
        </w:tc>
      </w:tr>
      <w:tr w:rsidR="00AF51F1" w14:paraId="4ED72C44"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7A6E3" w14:textId="77777777" w:rsidR="00AF51F1" w:rsidRDefault="00711D3C">
            <w:pPr>
              <w:spacing w:after="160"/>
              <w:contextualSpacing/>
            </w:pPr>
            <w:r>
              <w:rPr>
                <w:rFonts w:cs="Arial"/>
                <w:b/>
                <w:sz w:val="22"/>
                <w:szCs w:val="22"/>
              </w:rPr>
              <w:t>G Bennett</w:t>
            </w:r>
          </w:p>
          <w:p w14:paraId="1CEA2EC7" w14:textId="77777777" w:rsidR="00AF51F1" w:rsidRDefault="00711D3C">
            <w:pPr>
              <w:spacing w:after="160"/>
              <w:contextualSpacing/>
            </w:pPr>
            <w:r>
              <w:rPr>
                <w:rFonts w:cs="Arial"/>
                <w:sz w:val="22"/>
                <w:szCs w:val="22"/>
              </w:rPr>
              <w:t>Assessor and Electoral Registration Officer</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159BD" w14:textId="77777777" w:rsidR="00AF51F1" w:rsidRDefault="00711D3C">
            <w:pPr>
              <w:spacing w:after="160"/>
              <w:contextualSpacing/>
              <w:jc w:val="right"/>
            </w:pPr>
            <w:r>
              <w:rPr>
                <w:rFonts w:cs="Arial"/>
                <w:sz w:val="22"/>
                <w:szCs w:val="22"/>
              </w:rPr>
              <w:t>£119,906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C9282" w14:textId="77777777" w:rsidR="00AF51F1" w:rsidRDefault="00711D3C">
            <w:pPr>
              <w:spacing w:after="160"/>
              <w:contextualSpacing/>
              <w:jc w:val="right"/>
            </w:pPr>
            <w:r>
              <w:rPr>
                <w:rFonts w:cs="Arial"/>
                <w:sz w:val="22"/>
                <w:szCs w:val="22"/>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D5FD0" w14:textId="77777777" w:rsidR="00AF51F1" w:rsidRDefault="00711D3C">
            <w:pPr>
              <w:spacing w:after="160"/>
              <w:contextualSpacing/>
              <w:jc w:val="right"/>
            </w:pPr>
            <w:r>
              <w:rPr>
                <w:rFonts w:cs="Arial"/>
                <w:sz w:val="22"/>
                <w:szCs w:val="22"/>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19F8E" w14:textId="77777777" w:rsidR="00AF51F1" w:rsidRDefault="00711D3C">
            <w:pPr>
              <w:spacing w:after="160"/>
              <w:contextualSpacing/>
              <w:jc w:val="right"/>
            </w:pPr>
            <w:r>
              <w:rPr>
                <w:rFonts w:cs="Arial"/>
                <w:sz w:val="22"/>
                <w:szCs w:val="22"/>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2E120" w14:textId="77777777" w:rsidR="00AF51F1" w:rsidRDefault="00711D3C">
            <w:pPr>
              <w:spacing w:after="160"/>
              <w:contextualSpacing/>
              <w:jc w:val="right"/>
            </w:pPr>
            <w:r>
              <w:rPr>
                <w:rFonts w:cs="Arial"/>
                <w:sz w:val="22"/>
                <w:szCs w:val="22"/>
              </w:rPr>
              <w:t>£119,906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380F6" w14:textId="77777777" w:rsidR="00AF51F1" w:rsidRDefault="00711D3C">
            <w:pPr>
              <w:spacing w:after="160"/>
              <w:contextualSpacing/>
              <w:jc w:val="right"/>
            </w:pPr>
            <w:r>
              <w:rPr>
                <w:rFonts w:cs="Arial"/>
                <w:sz w:val="22"/>
                <w:szCs w:val="22"/>
              </w:rPr>
              <w:t>£119,036</w:t>
            </w:r>
          </w:p>
        </w:tc>
      </w:tr>
      <w:tr w:rsidR="00AF51F1" w14:paraId="2774A9F6"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A10CF" w14:textId="77777777" w:rsidR="00AF51F1" w:rsidRDefault="00711D3C">
            <w:pPr>
              <w:spacing w:after="160"/>
              <w:contextualSpacing/>
            </w:pPr>
            <w:r>
              <w:rPr>
                <w:rFonts w:cs="Arial"/>
                <w:b/>
                <w:sz w:val="22"/>
                <w:szCs w:val="22"/>
              </w:rPr>
              <w:t>J Neason</w:t>
            </w:r>
          </w:p>
          <w:p w14:paraId="75F3A273" w14:textId="77777777" w:rsidR="00AF51F1" w:rsidRDefault="00711D3C">
            <w:pPr>
              <w:spacing w:after="160"/>
              <w:contextualSpacing/>
            </w:pPr>
            <w:r>
              <w:rPr>
                <w:rFonts w:cs="Arial"/>
                <w:sz w:val="22"/>
                <w:szCs w:val="22"/>
              </w:rPr>
              <w:t>Assistant Assessor and Electoral Registration Officer</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BFA09" w14:textId="77777777" w:rsidR="00AF51F1" w:rsidRDefault="00711D3C">
            <w:pPr>
              <w:spacing w:after="160"/>
              <w:contextualSpacing/>
              <w:jc w:val="right"/>
            </w:pPr>
            <w:r>
              <w:rPr>
                <w:rFonts w:cs="Arial"/>
                <w:sz w:val="22"/>
                <w:szCs w:val="22"/>
              </w:rPr>
              <w:t>£73,263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3E03E" w14:textId="77777777" w:rsidR="00AF51F1" w:rsidRDefault="00711D3C">
            <w:pPr>
              <w:spacing w:after="160"/>
              <w:contextualSpacing/>
              <w:jc w:val="right"/>
            </w:pPr>
            <w:r>
              <w:rPr>
                <w:rFonts w:cs="Arial"/>
                <w:sz w:val="22"/>
                <w:szCs w:val="22"/>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E947A" w14:textId="77777777" w:rsidR="00AF51F1" w:rsidRDefault="00711D3C">
            <w:pPr>
              <w:spacing w:after="160"/>
              <w:contextualSpacing/>
              <w:jc w:val="right"/>
            </w:pPr>
            <w:r>
              <w:rPr>
                <w:rFonts w:cs="Arial"/>
                <w:sz w:val="22"/>
                <w:szCs w:val="22"/>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2B9A7" w14:textId="77777777" w:rsidR="00AF51F1" w:rsidRDefault="00711D3C">
            <w:pPr>
              <w:spacing w:after="160"/>
              <w:contextualSpacing/>
              <w:jc w:val="right"/>
            </w:pPr>
            <w:r>
              <w:rPr>
                <w:rFonts w:cs="Arial"/>
                <w:sz w:val="22"/>
                <w:szCs w:val="22"/>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91164" w14:textId="77777777" w:rsidR="00AF51F1" w:rsidRDefault="00711D3C">
            <w:pPr>
              <w:spacing w:after="160"/>
              <w:contextualSpacing/>
              <w:jc w:val="right"/>
            </w:pPr>
            <w:r>
              <w:rPr>
                <w:rFonts w:cs="Arial"/>
                <w:sz w:val="22"/>
                <w:szCs w:val="22"/>
              </w:rPr>
              <w:t>£73,263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CD503" w14:textId="77777777" w:rsidR="00AF51F1" w:rsidRDefault="00711D3C">
            <w:pPr>
              <w:spacing w:after="160"/>
              <w:contextualSpacing/>
              <w:jc w:val="right"/>
            </w:pPr>
            <w:r>
              <w:rPr>
                <w:rFonts w:cs="Arial"/>
                <w:sz w:val="22"/>
                <w:szCs w:val="22"/>
              </w:rPr>
              <w:t>£72,449</w:t>
            </w:r>
          </w:p>
        </w:tc>
      </w:tr>
      <w:tr w:rsidR="00AF51F1" w14:paraId="32052FBE"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8FBFD" w14:textId="77777777" w:rsidR="00AF51F1" w:rsidRDefault="00711D3C">
            <w:pPr>
              <w:spacing w:after="160"/>
              <w:contextualSpacing/>
            </w:pPr>
            <w:r>
              <w:rPr>
                <w:rFonts w:cs="Arial"/>
                <w:b/>
                <w:sz w:val="22"/>
                <w:szCs w:val="22"/>
              </w:rPr>
              <w:t>R Pacitti</w:t>
            </w:r>
          </w:p>
          <w:p w14:paraId="0AD7E68A" w14:textId="77777777" w:rsidR="00AF51F1" w:rsidRDefault="00711D3C">
            <w:pPr>
              <w:spacing w:after="160"/>
              <w:contextualSpacing/>
            </w:pPr>
            <w:r>
              <w:rPr>
                <w:rFonts w:cs="Arial"/>
                <w:sz w:val="22"/>
                <w:szCs w:val="22"/>
              </w:rPr>
              <w:t xml:space="preserve">Assistant Assessor and Electoral Registration Officer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3F681" w14:textId="77777777" w:rsidR="00AF51F1" w:rsidRDefault="00711D3C">
            <w:pPr>
              <w:spacing w:after="160"/>
              <w:contextualSpacing/>
              <w:jc w:val="right"/>
            </w:pPr>
            <w:r>
              <w:rPr>
                <w:rFonts w:cs="Arial"/>
                <w:sz w:val="22"/>
                <w:szCs w:val="22"/>
              </w:rPr>
              <w:t>£73,263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47971" w14:textId="77777777" w:rsidR="00AF51F1" w:rsidRDefault="00711D3C">
            <w:pPr>
              <w:spacing w:after="160"/>
              <w:contextualSpacing/>
              <w:jc w:val="right"/>
            </w:pPr>
            <w:r>
              <w:rPr>
                <w:rFonts w:cs="Arial"/>
                <w:sz w:val="22"/>
                <w:szCs w:val="22"/>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3E84D" w14:textId="77777777" w:rsidR="00AF51F1" w:rsidRDefault="00711D3C">
            <w:pPr>
              <w:spacing w:after="160"/>
              <w:contextualSpacing/>
              <w:jc w:val="right"/>
            </w:pPr>
            <w:r>
              <w:rPr>
                <w:rFonts w:cs="Arial"/>
                <w:sz w:val="22"/>
                <w:szCs w:val="22"/>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39C60" w14:textId="77777777" w:rsidR="00AF51F1" w:rsidRDefault="00711D3C">
            <w:pPr>
              <w:spacing w:after="160"/>
              <w:contextualSpacing/>
              <w:jc w:val="right"/>
            </w:pPr>
            <w:r>
              <w:rPr>
                <w:rFonts w:cs="Arial"/>
                <w:sz w:val="22"/>
                <w:szCs w:val="22"/>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2F6E1" w14:textId="77777777" w:rsidR="00AF51F1" w:rsidRDefault="00711D3C">
            <w:pPr>
              <w:spacing w:after="160"/>
              <w:contextualSpacing/>
              <w:jc w:val="right"/>
            </w:pPr>
            <w:r>
              <w:rPr>
                <w:rFonts w:cs="Arial"/>
                <w:sz w:val="22"/>
                <w:szCs w:val="22"/>
              </w:rPr>
              <w:t>£73,263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5CDB5" w14:textId="77777777" w:rsidR="00AF51F1" w:rsidRDefault="00711D3C">
            <w:pPr>
              <w:spacing w:after="160"/>
              <w:contextualSpacing/>
              <w:jc w:val="right"/>
            </w:pPr>
            <w:r>
              <w:rPr>
                <w:rFonts w:cs="Arial"/>
                <w:sz w:val="22"/>
                <w:szCs w:val="22"/>
              </w:rPr>
              <w:t>£72,449</w:t>
            </w:r>
          </w:p>
          <w:p w14:paraId="39E18CE5" w14:textId="77777777" w:rsidR="00AF51F1" w:rsidRDefault="00AF51F1">
            <w:pPr>
              <w:spacing w:after="160"/>
              <w:contextualSpacing/>
              <w:jc w:val="right"/>
              <w:rPr>
                <w:rFonts w:cs="Arial"/>
              </w:rPr>
            </w:pPr>
          </w:p>
          <w:p w14:paraId="1CE6F580" w14:textId="77777777" w:rsidR="00AF51F1" w:rsidRDefault="00AF51F1">
            <w:pPr>
              <w:spacing w:after="160"/>
              <w:contextualSpacing/>
              <w:jc w:val="right"/>
              <w:rPr>
                <w:rFonts w:cs="Arial"/>
              </w:rPr>
            </w:pPr>
          </w:p>
          <w:p w14:paraId="6364EDD7" w14:textId="77777777" w:rsidR="00AF51F1" w:rsidRDefault="00AF51F1">
            <w:pPr>
              <w:spacing w:after="160"/>
              <w:contextualSpacing/>
              <w:jc w:val="right"/>
              <w:rPr>
                <w:rFonts w:cs="Arial"/>
              </w:rPr>
            </w:pPr>
          </w:p>
        </w:tc>
      </w:tr>
      <w:tr w:rsidR="00AF51F1" w14:paraId="12E269AF" w14:textId="77777777">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54F50" w14:textId="77777777" w:rsidR="00AF51F1" w:rsidRDefault="00711D3C">
            <w:pPr>
              <w:spacing w:after="160"/>
              <w:contextualSpacing/>
            </w:pPr>
            <w:r>
              <w:rPr>
                <w:rFonts w:cs="Arial"/>
                <w:b/>
                <w:sz w:val="22"/>
                <w:szCs w:val="22"/>
              </w:rPr>
              <w:t>Total</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067E2" w14:textId="77777777" w:rsidR="00AF51F1" w:rsidRDefault="00711D3C">
            <w:pPr>
              <w:spacing w:after="160"/>
              <w:contextualSpacing/>
              <w:jc w:val="right"/>
            </w:pPr>
            <w:r>
              <w:rPr>
                <w:rFonts w:cs="Arial"/>
                <w:b/>
                <w:sz w:val="22"/>
                <w:szCs w:val="22"/>
              </w:rPr>
              <w:t>£266,432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E2F4D" w14:textId="77777777" w:rsidR="00AF51F1" w:rsidRDefault="00711D3C">
            <w:pPr>
              <w:spacing w:after="160"/>
              <w:contextualSpacing/>
              <w:jc w:val="right"/>
            </w:pPr>
            <w:r>
              <w:rPr>
                <w:rFonts w:cs="Arial"/>
                <w:b/>
                <w:sz w:val="22"/>
                <w:szCs w:val="22"/>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993E2" w14:textId="77777777" w:rsidR="00AF51F1" w:rsidRDefault="00711D3C">
            <w:pPr>
              <w:spacing w:after="160"/>
              <w:contextualSpacing/>
              <w:jc w:val="right"/>
            </w:pPr>
            <w:r>
              <w:rPr>
                <w:rFonts w:cs="Arial"/>
                <w:b/>
                <w:sz w:val="22"/>
                <w:szCs w:val="22"/>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B290F" w14:textId="77777777" w:rsidR="00AF51F1" w:rsidRDefault="00711D3C">
            <w:pPr>
              <w:spacing w:after="160"/>
              <w:contextualSpacing/>
              <w:jc w:val="right"/>
            </w:pPr>
            <w:r>
              <w:rPr>
                <w:rFonts w:cs="Arial"/>
                <w:b/>
                <w:sz w:val="22"/>
                <w:szCs w:val="22"/>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2E3C4" w14:textId="77777777" w:rsidR="00AF51F1" w:rsidRDefault="00711D3C">
            <w:pPr>
              <w:spacing w:after="160"/>
              <w:contextualSpacing/>
              <w:jc w:val="right"/>
            </w:pPr>
            <w:r>
              <w:rPr>
                <w:rFonts w:cs="Arial"/>
                <w:b/>
                <w:sz w:val="22"/>
                <w:szCs w:val="22"/>
              </w:rPr>
              <w:t>£266,432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89C57" w14:textId="77777777" w:rsidR="00AF51F1" w:rsidRDefault="00711D3C">
            <w:pPr>
              <w:spacing w:after="160"/>
              <w:contextualSpacing/>
              <w:jc w:val="right"/>
            </w:pPr>
            <w:r>
              <w:rPr>
                <w:rFonts w:cs="Arial"/>
                <w:b/>
                <w:sz w:val="22"/>
                <w:szCs w:val="22"/>
              </w:rPr>
              <w:t>£263,934</w:t>
            </w:r>
          </w:p>
        </w:tc>
      </w:tr>
    </w:tbl>
    <w:p w14:paraId="12FD1B45" w14:textId="77777777" w:rsidR="00AF51F1" w:rsidRDefault="00AF51F1">
      <w:pPr>
        <w:spacing w:after="160"/>
        <w:contextualSpacing/>
        <w:rPr>
          <w:rFonts w:cs="Arial"/>
          <w:b/>
          <w:sz w:val="22"/>
          <w:szCs w:val="22"/>
          <w:shd w:val="clear" w:color="auto" w:fill="FFFF00"/>
        </w:rPr>
      </w:pPr>
    </w:p>
    <w:p w14:paraId="130BDE7E" w14:textId="77777777" w:rsidR="00AF51F1" w:rsidRDefault="00711D3C">
      <w:pPr>
        <w:pStyle w:val="09-Bodytext"/>
      </w:pPr>
      <w:r>
        <w:t>The senior employees included in Table 2 include any Board employee:</w:t>
      </w:r>
    </w:p>
    <w:p w14:paraId="496332A2" w14:textId="77777777" w:rsidR="00AF51F1" w:rsidRDefault="00711D3C">
      <w:pPr>
        <w:pStyle w:val="09-Bodytext"/>
        <w:numPr>
          <w:ilvl w:val="0"/>
          <w:numId w:val="9"/>
        </w:numPr>
      </w:pPr>
      <w:r>
        <w:t xml:space="preserve">Who has responsibility for management of the Board to the extent that the person has power to direct or control the major activities of the Board (including activities involving the expenditure of money), during the year to which the report relates, whether solely or collectively with other </w:t>
      </w:r>
      <w:proofErr w:type="gramStart"/>
      <w:r>
        <w:t>persons;</w:t>
      </w:r>
      <w:proofErr w:type="gramEnd"/>
    </w:p>
    <w:p w14:paraId="7D9A46CA" w14:textId="77777777" w:rsidR="00AF51F1" w:rsidRDefault="00711D3C">
      <w:pPr>
        <w:pStyle w:val="09-Bodytext"/>
        <w:numPr>
          <w:ilvl w:val="0"/>
          <w:numId w:val="9"/>
        </w:numPr>
      </w:pPr>
      <w:r>
        <w:t>Who holds a post that is politically restricted by reason of section 2(1) (a), (b) or (c) of the Local Government and Housing Act 1989; or</w:t>
      </w:r>
    </w:p>
    <w:p w14:paraId="229AC0B3" w14:textId="77777777" w:rsidR="00AF51F1" w:rsidRDefault="00711D3C">
      <w:pPr>
        <w:pStyle w:val="09-Bodytext"/>
        <w:numPr>
          <w:ilvl w:val="0"/>
          <w:numId w:val="9"/>
        </w:numPr>
      </w:pPr>
      <w:r>
        <w:t>Whose annual remuneration, including remuneration from a local authority subsidiary body, is £150,000 or more.</w:t>
      </w:r>
    </w:p>
    <w:p w14:paraId="25DF5CAF" w14:textId="77777777" w:rsidR="00AF51F1" w:rsidRDefault="00711D3C">
      <w:pPr>
        <w:pStyle w:val="09-Bodytext"/>
        <w:pageBreakBefore/>
        <w:rPr>
          <w:b/>
          <w:bCs/>
        </w:rPr>
      </w:pPr>
      <w:r>
        <w:rPr>
          <w:b/>
          <w:bCs/>
        </w:rPr>
        <w:lastRenderedPageBreak/>
        <w:t>Table 3 – Convenors and Depute-Convenors</w:t>
      </w:r>
    </w:p>
    <w:p w14:paraId="04F36E42" w14:textId="77777777" w:rsidR="00AF51F1" w:rsidRDefault="00AF51F1">
      <w:pPr>
        <w:pStyle w:val="09-Bodytext"/>
        <w:rPr>
          <w:shd w:val="clear" w:color="auto" w:fill="FFFF00"/>
        </w:rPr>
      </w:pPr>
    </w:p>
    <w:tbl>
      <w:tblPr>
        <w:tblW w:w="10632" w:type="dxa"/>
        <w:tblInd w:w="-714" w:type="dxa"/>
        <w:tblLayout w:type="fixed"/>
        <w:tblCellMar>
          <w:left w:w="10" w:type="dxa"/>
          <w:right w:w="10" w:type="dxa"/>
        </w:tblCellMar>
        <w:tblLook w:val="0000" w:firstRow="0" w:lastRow="0" w:firstColumn="0" w:lastColumn="0" w:noHBand="0" w:noVBand="0"/>
      </w:tblPr>
      <w:tblGrid>
        <w:gridCol w:w="2410"/>
        <w:gridCol w:w="1134"/>
        <w:gridCol w:w="1276"/>
        <w:gridCol w:w="1843"/>
        <w:gridCol w:w="1701"/>
        <w:gridCol w:w="1134"/>
        <w:gridCol w:w="1134"/>
      </w:tblGrid>
      <w:tr w:rsidR="00AF51F1" w14:paraId="5C109DC1"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994CD" w14:textId="77777777" w:rsidR="00AF51F1" w:rsidRDefault="00711D3C">
            <w:pPr>
              <w:pStyle w:val="09-Bodytext"/>
              <w:rPr>
                <w:b/>
                <w:bCs/>
              </w:rPr>
            </w:pPr>
            <w:r>
              <w:rPr>
                <w:b/>
                <w:bCs/>
              </w:rPr>
              <w:t>Name / Post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E2023" w14:textId="77777777" w:rsidR="00AF51F1" w:rsidRDefault="00711D3C">
            <w:pPr>
              <w:pStyle w:val="09-Bodytext"/>
              <w:jc w:val="right"/>
              <w:rPr>
                <w:b/>
                <w:bCs/>
              </w:rPr>
            </w:pPr>
            <w:r>
              <w:rPr>
                <w:b/>
                <w:bCs/>
              </w:rPr>
              <w:t>Salary / Fees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3CA3D" w14:textId="77777777" w:rsidR="00AF51F1" w:rsidRDefault="00711D3C">
            <w:pPr>
              <w:pStyle w:val="09-Bodytext"/>
              <w:jc w:val="right"/>
              <w:rPr>
                <w:b/>
                <w:bCs/>
              </w:rPr>
            </w:pPr>
            <w:r>
              <w:rPr>
                <w:b/>
                <w:bCs/>
              </w:rPr>
              <w:t>Taxable Expenses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252D0" w14:textId="77777777" w:rsidR="00AF51F1" w:rsidRDefault="00711D3C">
            <w:pPr>
              <w:pStyle w:val="09-Bodytext"/>
              <w:jc w:val="right"/>
              <w:rPr>
                <w:b/>
                <w:bCs/>
              </w:rPr>
            </w:pPr>
            <w:r>
              <w:rPr>
                <w:b/>
                <w:bCs/>
              </w:rPr>
              <w:t>Compensation for Loss of Office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FC870" w14:textId="77777777" w:rsidR="00AF51F1" w:rsidRDefault="00711D3C">
            <w:pPr>
              <w:pStyle w:val="09-Bodytext"/>
              <w:jc w:val="right"/>
              <w:rPr>
                <w:b/>
                <w:bCs/>
              </w:rPr>
            </w:pPr>
            <w:r>
              <w:rPr>
                <w:b/>
                <w:bCs/>
              </w:rPr>
              <w:t>Any other Remuneration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9201D" w14:textId="77777777" w:rsidR="00AF51F1" w:rsidRDefault="00711D3C">
            <w:pPr>
              <w:pStyle w:val="09-Bodytext"/>
              <w:jc w:val="right"/>
              <w:rPr>
                <w:b/>
                <w:bCs/>
              </w:rPr>
            </w:pPr>
            <w:r>
              <w:rPr>
                <w:b/>
                <w:bCs/>
              </w:rPr>
              <w:t>2021/22 Total</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1F7E9" w14:textId="77777777" w:rsidR="00AF51F1" w:rsidRDefault="00711D3C">
            <w:pPr>
              <w:pStyle w:val="09-Bodytext"/>
              <w:jc w:val="right"/>
              <w:rPr>
                <w:b/>
                <w:bCs/>
              </w:rPr>
            </w:pPr>
            <w:r>
              <w:rPr>
                <w:b/>
                <w:bCs/>
              </w:rPr>
              <w:t>2020/21 Total</w:t>
            </w:r>
          </w:p>
        </w:tc>
      </w:tr>
      <w:tr w:rsidR="00AF51F1" w14:paraId="506DCA16"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0D58D" w14:textId="77777777" w:rsidR="00AF51F1" w:rsidRDefault="00711D3C">
            <w:pPr>
              <w:pStyle w:val="09-Bodytext"/>
            </w:pPr>
            <w:r>
              <w:t>A McVey</w:t>
            </w:r>
          </w:p>
          <w:p w14:paraId="5D8D2CEE" w14:textId="77777777" w:rsidR="00AF51F1" w:rsidRDefault="00711D3C">
            <w:pPr>
              <w:pStyle w:val="09-Bodytext"/>
            </w:pPr>
            <w:r>
              <w:t>Convenor</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194D5" w14:textId="77777777" w:rsidR="00AF51F1" w:rsidRDefault="00711D3C">
            <w:pPr>
              <w:pStyle w:val="09-Bodytext"/>
              <w:jc w:val="right"/>
            </w:pPr>
            <w:r>
              <w:t>£5,934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77836" w14:textId="77777777" w:rsidR="00AF51F1" w:rsidRDefault="00711D3C">
            <w:pPr>
              <w:pStyle w:val="09-Bodytext"/>
              <w:jc w:val="right"/>
            </w:pPr>
            <w: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B7860" w14:textId="77777777" w:rsidR="00AF51F1" w:rsidRDefault="00711D3C">
            <w:pPr>
              <w:pStyle w:val="09-Bodytext"/>
              <w:jc w:val="right"/>
            </w:pPr>
            <w: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5BCAA" w14:textId="77777777" w:rsidR="00AF51F1" w:rsidRDefault="00711D3C">
            <w:pPr>
              <w:pStyle w:val="09-Bodytext"/>
              <w:jc w:val="right"/>
            </w:pPr>
            <w: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38BAB" w14:textId="77777777" w:rsidR="00AF51F1" w:rsidRDefault="00711D3C">
            <w:pPr>
              <w:pStyle w:val="09-Bodytext"/>
              <w:jc w:val="right"/>
            </w:pPr>
            <w:r>
              <w:t>£5,934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1E4A7" w14:textId="77777777" w:rsidR="00AF51F1" w:rsidRDefault="00711D3C">
            <w:pPr>
              <w:pStyle w:val="09-Bodytext"/>
              <w:jc w:val="right"/>
            </w:pPr>
            <w:r>
              <w:t>£4,468</w:t>
            </w:r>
          </w:p>
        </w:tc>
      </w:tr>
      <w:tr w:rsidR="00AF51F1" w14:paraId="0338BEB6"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E8BA8" w14:textId="77777777" w:rsidR="00AF51F1" w:rsidRDefault="00711D3C">
            <w:pPr>
              <w:pStyle w:val="09-Bodytext"/>
            </w:pPr>
            <w:r>
              <w:t>L Hamilton</w:t>
            </w:r>
          </w:p>
          <w:p w14:paraId="40706175" w14:textId="77777777" w:rsidR="00AF51F1" w:rsidRDefault="00711D3C">
            <w:pPr>
              <w:pStyle w:val="09-Bodytext"/>
            </w:pPr>
            <w:r>
              <w:t>Depute Convenor</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78C89" w14:textId="77777777" w:rsidR="00AF51F1" w:rsidRDefault="00711D3C">
            <w:pPr>
              <w:pStyle w:val="09-Bodytext"/>
              <w:jc w:val="right"/>
            </w:pPr>
            <w:r>
              <w:t>£3,476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74519" w14:textId="77777777" w:rsidR="00AF51F1" w:rsidRDefault="00711D3C">
            <w:pPr>
              <w:pStyle w:val="09-Bodytext"/>
              <w:jc w:val="right"/>
            </w:pPr>
            <w: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2CE6A" w14:textId="77777777" w:rsidR="00AF51F1" w:rsidRDefault="00711D3C">
            <w:pPr>
              <w:pStyle w:val="09-Bodytext"/>
              <w:jc w:val="right"/>
            </w:pPr>
            <w: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5756E" w14:textId="77777777" w:rsidR="00AF51F1" w:rsidRDefault="00711D3C">
            <w:pPr>
              <w:pStyle w:val="09-Bodytext"/>
              <w:jc w:val="right"/>
            </w:pPr>
            <w: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6A3EC" w14:textId="77777777" w:rsidR="00AF51F1" w:rsidRDefault="00711D3C">
            <w:pPr>
              <w:pStyle w:val="09-Bodytext"/>
              <w:jc w:val="right"/>
            </w:pPr>
            <w:r>
              <w:t>£3,476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B7FF4" w14:textId="77777777" w:rsidR="00AF51F1" w:rsidRDefault="00711D3C">
            <w:pPr>
              <w:pStyle w:val="09-Bodytext"/>
              <w:jc w:val="right"/>
            </w:pPr>
            <w:r>
              <w:t>£3,336</w:t>
            </w:r>
          </w:p>
        </w:tc>
      </w:tr>
      <w:tr w:rsidR="00AF51F1" w14:paraId="0B5D3E54"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90464" w14:textId="77777777" w:rsidR="00AF51F1" w:rsidRDefault="00711D3C">
            <w:pPr>
              <w:pStyle w:val="09-Bodytext"/>
              <w:rPr>
                <w:b/>
                <w:bCs/>
              </w:rPr>
            </w:pPr>
            <w:r>
              <w:rPr>
                <w:b/>
                <w:bCs/>
              </w:rPr>
              <w:t>Total</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A339E" w14:textId="77777777" w:rsidR="00AF51F1" w:rsidRDefault="00711D3C">
            <w:pPr>
              <w:pStyle w:val="09-Bodytext"/>
              <w:jc w:val="right"/>
              <w:rPr>
                <w:b/>
                <w:bCs/>
              </w:rPr>
            </w:pPr>
            <w:r>
              <w:rPr>
                <w:b/>
                <w:bCs/>
              </w:rPr>
              <w:t>£9,410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B0338" w14:textId="77777777" w:rsidR="00AF51F1" w:rsidRDefault="00AF51F1">
            <w:pPr>
              <w:pStyle w:val="09-Bodytext"/>
              <w:jc w:val="right"/>
              <w:rPr>
                <w:b/>
                <w:bC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77ED7" w14:textId="77777777" w:rsidR="00AF51F1" w:rsidRDefault="00AF51F1">
            <w:pPr>
              <w:pStyle w:val="09-Bodytext"/>
              <w:jc w:val="right"/>
              <w:rPr>
                <w:b/>
                <w:bC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9F5EA" w14:textId="77777777" w:rsidR="00AF51F1" w:rsidRDefault="00AF51F1">
            <w:pPr>
              <w:pStyle w:val="09-Bodytext"/>
              <w:jc w:val="right"/>
              <w:rPr>
                <w:b/>
                <w:bC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BFCEE" w14:textId="77777777" w:rsidR="00AF51F1" w:rsidRDefault="00711D3C">
            <w:pPr>
              <w:pStyle w:val="09-Bodytext"/>
              <w:jc w:val="right"/>
              <w:rPr>
                <w:b/>
                <w:bCs/>
              </w:rPr>
            </w:pPr>
            <w:r>
              <w:rPr>
                <w:b/>
                <w:bCs/>
              </w:rPr>
              <w:t>£9,410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31805" w14:textId="77777777" w:rsidR="00AF51F1" w:rsidRDefault="00711D3C">
            <w:pPr>
              <w:pStyle w:val="09-Bodytext"/>
              <w:jc w:val="right"/>
              <w:rPr>
                <w:b/>
                <w:bCs/>
              </w:rPr>
            </w:pPr>
            <w:r>
              <w:rPr>
                <w:b/>
                <w:bCs/>
              </w:rPr>
              <w:t>£7,804</w:t>
            </w:r>
          </w:p>
        </w:tc>
      </w:tr>
    </w:tbl>
    <w:p w14:paraId="132CCD12" w14:textId="77777777" w:rsidR="00AF51F1" w:rsidRDefault="00AF51F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38C3F9FD" w14:textId="77777777" w:rsidR="00AF51F1" w:rsidRDefault="00711D3C">
      <w:pPr>
        <w:pStyle w:val="09-Bodytext"/>
        <w:rPr>
          <w:b/>
          <w:bCs/>
        </w:rPr>
      </w:pPr>
      <w:r>
        <w:rPr>
          <w:b/>
          <w:bCs/>
        </w:rPr>
        <w:t>Pension Rights</w:t>
      </w:r>
    </w:p>
    <w:p w14:paraId="515A3F91" w14:textId="77777777" w:rsidR="00AF51F1" w:rsidRDefault="00711D3C">
      <w:pPr>
        <w:pStyle w:val="09-Bodytext"/>
      </w:pPr>
      <w:r>
        <w:t xml:space="preserve">Pension benefits for councillors and Lanarkshire Valuation Joint Board (LVJB) employees are provided through the Local Government Pension Scheme (LGPS). </w:t>
      </w:r>
    </w:p>
    <w:p w14:paraId="0E4583A8" w14:textId="77777777" w:rsidR="00AF51F1" w:rsidRDefault="00AF51F1">
      <w:pPr>
        <w:pStyle w:val="09-Bodytext"/>
        <w:rPr>
          <w:strike/>
        </w:rPr>
      </w:pPr>
    </w:p>
    <w:p w14:paraId="1BD87FAD" w14:textId="77777777" w:rsidR="00AF51F1" w:rsidRDefault="00711D3C">
      <w:pPr>
        <w:pStyle w:val="09-Bodytext"/>
      </w:pPr>
      <w:r>
        <w:rPr>
          <w:iCs/>
        </w:rPr>
        <w:t>LVJB employees had a final salary pension scheme prior to 1 April 2015. This means that pension benefits are based on the final year’s pay and the number of years that person has been a member of the scheme.  As of 1 April 2015, LVJB employees are now part of a defined benefit pension scheme worked out on a career average basis.  Benefits built up are calculated using pensionable pay each scheme year, rather than final salary.  All benefits built up prior to this date are protected.</w:t>
      </w:r>
      <w:r>
        <w:t xml:space="preserve"> </w:t>
      </w:r>
    </w:p>
    <w:p w14:paraId="5BA6D9CD" w14:textId="77777777" w:rsidR="00AF51F1" w:rsidRDefault="00AF51F1">
      <w:pPr>
        <w:pStyle w:val="09-Bodytext"/>
      </w:pPr>
    </w:p>
    <w:p w14:paraId="2AFE7207" w14:textId="77777777" w:rsidR="00AF51F1" w:rsidRDefault="00711D3C">
      <w:pPr>
        <w:pStyle w:val="09-Bodytext"/>
        <w:rPr>
          <w:iCs/>
        </w:rPr>
      </w:pPr>
      <w:r>
        <w:rPr>
          <w:iCs/>
        </w:rPr>
        <w:t>From 1 April 2009, a five-tier contribution system was introduced with contributions from scheme members based on how much pay falls into each tier. This is designed to give more equality between the costs and benefits of scheme membership. Under The Local Government Pension Scheme (Scotland) Regulations 2014, the earnings ranges used to determine annual contribution rates are to be increased each year by any increase applied to pensions under the Pensions (Increase) Act 1971. In accordance with this the salary bands for 2019/2020 were uprated by the Consumer Price Index (CPI) increase for 2020/2021.</w:t>
      </w:r>
    </w:p>
    <w:p w14:paraId="7E69473D" w14:textId="77777777" w:rsidR="00AF51F1" w:rsidRDefault="00AF51F1">
      <w:pPr>
        <w:pStyle w:val="09-Bodytext"/>
        <w:rPr>
          <w:shd w:val="clear" w:color="auto" w:fill="FFFF00"/>
        </w:rPr>
      </w:pPr>
    </w:p>
    <w:p w14:paraId="27DEE10E" w14:textId="77777777" w:rsidR="00AF51F1" w:rsidRDefault="00711D3C">
      <w:pPr>
        <w:pStyle w:val="09-Bodytext"/>
      </w:pPr>
      <w:r>
        <w:t>The member contribution rates and tiers for 2021/2022 are shown in Table 4 along with those that applied in 2020/2021:</w:t>
      </w:r>
      <w:r>
        <w:rPr>
          <w:color w:val="FF0000"/>
        </w:rPr>
        <w:t xml:space="preserve"> </w:t>
      </w:r>
    </w:p>
    <w:p w14:paraId="2C6C8D29" w14:textId="77777777" w:rsidR="00AF51F1" w:rsidRDefault="00AF51F1">
      <w:pPr>
        <w:rPr>
          <w:rFonts w:cs="Arial"/>
          <w:color w:val="FF0000"/>
          <w:sz w:val="22"/>
          <w:szCs w:val="22"/>
          <w:shd w:val="clear" w:color="auto" w:fill="FFFF00"/>
        </w:rPr>
      </w:pPr>
    </w:p>
    <w:p w14:paraId="5B7024C6" w14:textId="77777777" w:rsidR="00AF51F1" w:rsidRDefault="00711D3C">
      <w:pPr>
        <w:pStyle w:val="09-Bodytext"/>
        <w:rPr>
          <w:b/>
          <w:bCs/>
        </w:rPr>
      </w:pPr>
      <w:r>
        <w:rPr>
          <w:b/>
          <w:bCs/>
        </w:rPr>
        <w:t>Table 4 – Pension Contribution Rates</w:t>
      </w:r>
    </w:p>
    <w:p w14:paraId="783FB9AF" w14:textId="77777777" w:rsidR="00AF51F1" w:rsidRDefault="00AF51F1">
      <w:pPr>
        <w:pStyle w:val="09-Bodytext"/>
        <w:rPr>
          <w:shd w:val="clear" w:color="auto" w:fill="FFFF00"/>
        </w:rPr>
      </w:pPr>
    </w:p>
    <w:tbl>
      <w:tblPr>
        <w:tblW w:w="10632" w:type="dxa"/>
        <w:tblInd w:w="-714" w:type="dxa"/>
        <w:tblCellMar>
          <w:left w:w="10" w:type="dxa"/>
          <w:right w:w="10" w:type="dxa"/>
        </w:tblCellMar>
        <w:tblLook w:val="0000" w:firstRow="0" w:lastRow="0" w:firstColumn="0" w:lastColumn="0" w:noHBand="0" w:noVBand="0"/>
      </w:tblPr>
      <w:tblGrid>
        <w:gridCol w:w="3811"/>
        <w:gridCol w:w="1536"/>
        <w:gridCol w:w="3749"/>
        <w:gridCol w:w="1536"/>
      </w:tblGrid>
      <w:tr w:rsidR="00AF51F1" w14:paraId="12DC1732" w14:textId="77777777">
        <w:tc>
          <w:tcPr>
            <w:tcW w:w="3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37525" w14:textId="77777777" w:rsidR="00AF51F1" w:rsidRDefault="00711D3C">
            <w:pPr>
              <w:pStyle w:val="09-Bodytext"/>
              <w:rPr>
                <w:b/>
                <w:bCs/>
              </w:rPr>
            </w:pPr>
            <w:r>
              <w:rPr>
                <w:b/>
                <w:bCs/>
              </w:rPr>
              <w:t>Pensionable Pay</w:t>
            </w: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1EEF9" w14:textId="77777777" w:rsidR="00AF51F1" w:rsidRDefault="00711D3C">
            <w:pPr>
              <w:pStyle w:val="09-Bodytext"/>
              <w:jc w:val="center"/>
              <w:rPr>
                <w:rFonts w:cs="Arial"/>
                <w:b/>
                <w:bCs/>
              </w:rPr>
            </w:pPr>
            <w:r>
              <w:rPr>
                <w:rFonts w:cs="Arial"/>
                <w:b/>
                <w:bCs/>
              </w:rPr>
              <w:t>Contribution rate</w:t>
            </w:r>
          </w:p>
          <w:p w14:paraId="55E99AD3" w14:textId="77777777" w:rsidR="00AF51F1" w:rsidRDefault="00711D3C">
            <w:pPr>
              <w:pStyle w:val="09-Bodytext"/>
              <w:jc w:val="center"/>
              <w:rPr>
                <w:rFonts w:cs="Arial"/>
                <w:b/>
                <w:bCs/>
              </w:rPr>
            </w:pPr>
            <w:r>
              <w:rPr>
                <w:rFonts w:cs="Arial"/>
                <w:b/>
                <w:bCs/>
              </w:rPr>
              <w:t>2021/22</w:t>
            </w:r>
          </w:p>
          <w:p w14:paraId="7DE57EB8" w14:textId="77777777" w:rsidR="00AF51F1" w:rsidRDefault="00AF51F1">
            <w:pPr>
              <w:pStyle w:val="09-Bodytext"/>
              <w:jc w:val="center"/>
              <w:rPr>
                <w:b/>
                <w:bCs/>
              </w:rPr>
            </w:pPr>
          </w:p>
        </w:tc>
        <w:tc>
          <w:tcPr>
            <w:tcW w:w="3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B5286" w14:textId="77777777" w:rsidR="00AF51F1" w:rsidRDefault="00711D3C">
            <w:pPr>
              <w:pStyle w:val="09-Bodytext"/>
              <w:rPr>
                <w:b/>
                <w:bCs/>
              </w:rPr>
            </w:pPr>
            <w:r>
              <w:rPr>
                <w:b/>
                <w:bCs/>
              </w:rPr>
              <w:t>Pensionable Pay</w:t>
            </w: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9DE48" w14:textId="77777777" w:rsidR="00AF51F1" w:rsidRDefault="00711D3C">
            <w:pPr>
              <w:pStyle w:val="09-Bodytext"/>
              <w:jc w:val="center"/>
              <w:rPr>
                <w:rFonts w:cs="Arial"/>
                <w:b/>
                <w:bCs/>
              </w:rPr>
            </w:pPr>
            <w:r>
              <w:rPr>
                <w:rFonts w:cs="Arial"/>
                <w:b/>
                <w:bCs/>
              </w:rPr>
              <w:t>Contribution Rate</w:t>
            </w:r>
          </w:p>
          <w:p w14:paraId="2F3156CF" w14:textId="77777777" w:rsidR="00AF51F1" w:rsidRDefault="00711D3C">
            <w:pPr>
              <w:pStyle w:val="09-Bodytext"/>
              <w:jc w:val="center"/>
              <w:rPr>
                <w:b/>
                <w:bCs/>
              </w:rPr>
            </w:pPr>
            <w:r>
              <w:rPr>
                <w:b/>
                <w:bCs/>
              </w:rPr>
              <w:t>2020/21</w:t>
            </w:r>
          </w:p>
        </w:tc>
      </w:tr>
      <w:tr w:rsidR="00AF51F1" w14:paraId="3019CC90" w14:textId="77777777">
        <w:tc>
          <w:tcPr>
            <w:tcW w:w="3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2A465" w14:textId="77777777" w:rsidR="00AF51F1" w:rsidRDefault="00711D3C">
            <w:pPr>
              <w:pStyle w:val="09-Bodytext"/>
            </w:pPr>
            <w:r>
              <w:t>On earnings up to an including £22,300</w:t>
            </w: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97840" w14:textId="77777777" w:rsidR="00AF51F1" w:rsidRDefault="00711D3C">
            <w:pPr>
              <w:pStyle w:val="09-Bodytext"/>
              <w:jc w:val="center"/>
            </w:pPr>
            <w:r>
              <w:t>5.50%</w:t>
            </w:r>
          </w:p>
        </w:tc>
        <w:tc>
          <w:tcPr>
            <w:tcW w:w="3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72CFC" w14:textId="77777777" w:rsidR="00AF51F1" w:rsidRDefault="00711D3C">
            <w:pPr>
              <w:pStyle w:val="09-Bodytext"/>
            </w:pPr>
            <w:r>
              <w:t>On earnings up to an including £22,200</w:t>
            </w: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56B15" w14:textId="77777777" w:rsidR="00AF51F1" w:rsidRDefault="00711D3C">
            <w:pPr>
              <w:pStyle w:val="09-Bodytext"/>
              <w:jc w:val="center"/>
            </w:pPr>
            <w:r>
              <w:t>5.50%</w:t>
            </w:r>
          </w:p>
        </w:tc>
      </w:tr>
      <w:tr w:rsidR="00AF51F1" w14:paraId="7AC69375" w14:textId="77777777">
        <w:tc>
          <w:tcPr>
            <w:tcW w:w="3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9722C" w14:textId="77777777" w:rsidR="00AF51F1" w:rsidRDefault="00711D3C">
            <w:pPr>
              <w:pStyle w:val="09-Bodytext"/>
            </w:pPr>
            <w:r>
              <w:t>On earnings above £22,300 and up to £27,300</w:t>
            </w: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DF53A" w14:textId="77777777" w:rsidR="00AF51F1" w:rsidRDefault="00711D3C">
            <w:pPr>
              <w:pStyle w:val="09-Bodytext"/>
              <w:jc w:val="center"/>
            </w:pPr>
            <w:r>
              <w:t>7.25%</w:t>
            </w:r>
          </w:p>
        </w:tc>
        <w:tc>
          <w:tcPr>
            <w:tcW w:w="3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5737B" w14:textId="77777777" w:rsidR="00AF51F1" w:rsidRDefault="00711D3C">
            <w:pPr>
              <w:pStyle w:val="09-Bodytext"/>
            </w:pPr>
            <w:r>
              <w:t>On earnings above £22,200 and up to £27,100</w:t>
            </w: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C2579" w14:textId="77777777" w:rsidR="00AF51F1" w:rsidRDefault="00711D3C">
            <w:pPr>
              <w:pStyle w:val="09-Bodytext"/>
              <w:jc w:val="center"/>
            </w:pPr>
            <w:r>
              <w:t>7.25%</w:t>
            </w:r>
          </w:p>
        </w:tc>
      </w:tr>
      <w:tr w:rsidR="00AF51F1" w14:paraId="7253F9FD" w14:textId="77777777">
        <w:tc>
          <w:tcPr>
            <w:tcW w:w="3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3DD0D" w14:textId="77777777" w:rsidR="00AF51F1" w:rsidRDefault="00711D3C">
            <w:pPr>
              <w:pStyle w:val="09-Bodytext"/>
            </w:pPr>
            <w:r>
              <w:t>On earnings above £27,300 and up to £37,400</w:t>
            </w: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404C8" w14:textId="77777777" w:rsidR="00AF51F1" w:rsidRDefault="00711D3C">
            <w:pPr>
              <w:pStyle w:val="09-Bodytext"/>
              <w:jc w:val="center"/>
            </w:pPr>
            <w:r>
              <w:t>8.50%</w:t>
            </w:r>
          </w:p>
        </w:tc>
        <w:tc>
          <w:tcPr>
            <w:tcW w:w="3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823F5" w14:textId="77777777" w:rsidR="00AF51F1" w:rsidRDefault="00711D3C">
            <w:pPr>
              <w:pStyle w:val="09-Bodytext"/>
            </w:pPr>
            <w:r>
              <w:t>On earnings above £27,100 and up to £37,200</w:t>
            </w: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8236E" w14:textId="77777777" w:rsidR="00AF51F1" w:rsidRDefault="00711D3C">
            <w:pPr>
              <w:pStyle w:val="09-Bodytext"/>
              <w:jc w:val="center"/>
            </w:pPr>
            <w:r>
              <w:t>8.50%</w:t>
            </w:r>
          </w:p>
        </w:tc>
      </w:tr>
      <w:tr w:rsidR="00AF51F1" w14:paraId="35F1117A" w14:textId="77777777">
        <w:tc>
          <w:tcPr>
            <w:tcW w:w="3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A669C" w14:textId="77777777" w:rsidR="00AF51F1" w:rsidRDefault="00711D3C">
            <w:pPr>
              <w:pStyle w:val="09-Bodytext"/>
            </w:pPr>
            <w:r>
              <w:t>On earnings above £37,400 and up to £49,900</w:t>
            </w: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F205A" w14:textId="77777777" w:rsidR="00AF51F1" w:rsidRDefault="00711D3C">
            <w:pPr>
              <w:pStyle w:val="09-Bodytext"/>
              <w:jc w:val="center"/>
            </w:pPr>
            <w:r>
              <w:t>9.50%</w:t>
            </w:r>
          </w:p>
        </w:tc>
        <w:tc>
          <w:tcPr>
            <w:tcW w:w="3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8E095" w14:textId="77777777" w:rsidR="00AF51F1" w:rsidRDefault="00711D3C">
            <w:pPr>
              <w:pStyle w:val="09-Bodytext"/>
            </w:pPr>
            <w:r>
              <w:t>On earnings above £37,200 and up to £49,600</w:t>
            </w: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C7D55" w14:textId="77777777" w:rsidR="00AF51F1" w:rsidRDefault="00711D3C">
            <w:pPr>
              <w:pStyle w:val="09-Bodytext"/>
              <w:jc w:val="center"/>
            </w:pPr>
            <w:r>
              <w:t>9.50%</w:t>
            </w:r>
          </w:p>
        </w:tc>
      </w:tr>
      <w:tr w:rsidR="00AF51F1" w14:paraId="338C96F5" w14:textId="77777777">
        <w:tc>
          <w:tcPr>
            <w:tcW w:w="3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848DD" w14:textId="77777777" w:rsidR="00AF51F1" w:rsidRDefault="00711D3C">
            <w:pPr>
              <w:pStyle w:val="09-Bodytext"/>
            </w:pPr>
            <w:r>
              <w:t>On earnings above £49,900</w:t>
            </w: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0346F" w14:textId="77777777" w:rsidR="00AF51F1" w:rsidRDefault="00711D3C">
            <w:pPr>
              <w:pStyle w:val="09-Bodytext"/>
              <w:jc w:val="center"/>
            </w:pPr>
            <w:r>
              <w:t>12.0%</w:t>
            </w:r>
          </w:p>
        </w:tc>
        <w:tc>
          <w:tcPr>
            <w:tcW w:w="3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83A67" w14:textId="77777777" w:rsidR="00AF51F1" w:rsidRDefault="00711D3C">
            <w:pPr>
              <w:pStyle w:val="09-Bodytext"/>
            </w:pPr>
            <w:r>
              <w:t>On earnings above £49,600</w:t>
            </w: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53E1C" w14:textId="77777777" w:rsidR="00AF51F1" w:rsidRDefault="00711D3C">
            <w:pPr>
              <w:pStyle w:val="09-Bodytext"/>
              <w:jc w:val="center"/>
            </w:pPr>
            <w:r>
              <w:t>12.0%</w:t>
            </w:r>
          </w:p>
        </w:tc>
      </w:tr>
    </w:tbl>
    <w:p w14:paraId="3388063A" w14:textId="77777777" w:rsidR="00AF51F1" w:rsidRDefault="00AF51F1">
      <w:pPr>
        <w:pStyle w:val="Default"/>
        <w:rPr>
          <w:sz w:val="22"/>
          <w:szCs w:val="22"/>
          <w:shd w:val="clear" w:color="auto" w:fill="FFFF00"/>
        </w:rPr>
      </w:pPr>
    </w:p>
    <w:p w14:paraId="0463B504" w14:textId="77777777" w:rsidR="00AF51F1" w:rsidRDefault="00AF51F1">
      <w:pPr>
        <w:pageBreakBefore/>
      </w:pPr>
    </w:p>
    <w:p w14:paraId="00241B0C" w14:textId="77777777" w:rsidR="00AF51F1" w:rsidRDefault="00711D3C">
      <w:pPr>
        <w:pStyle w:val="09-Bodytext"/>
      </w:pPr>
      <w:r>
        <w:t xml:space="preserve">From April 2015, if a person works part-time their contribution is based on their part-time pay.  Prior to this, if a person worked part-time, their contribution rate was worked out on the whole-time pay rate for the job, with actual contributions paid on actual pay earned.  </w:t>
      </w:r>
    </w:p>
    <w:p w14:paraId="042E3E81" w14:textId="77777777" w:rsidR="00AF51F1" w:rsidRDefault="00AF51F1">
      <w:pPr>
        <w:pStyle w:val="09-Bodytext"/>
      </w:pPr>
    </w:p>
    <w:p w14:paraId="7D20959B" w14:textId="77777777" w:rsidR="00AF51F1" w:rsidRDefault="00711D3C">
      <w:pPr>
        <w:pStyle w:val="09-Bodytext"/>
      </w:pPr>
      <w:r>
        <w:t>There is no automatic entitlement to a lump sum.  Members may opt to give up (commute) pension for lump sum up to the limit set by the Finance Act 2004.</w:t>
      </w:r>
    </w:p>
    <w:p w14:paraId="6618531A" w14:textId="77777777" w:rsidR="00AF51F1" w:rsidRDefault="00AF51F1">
      <w:pPr>
        <w:pStyle w:val="09-Bodytext"/>
      </w:pPr>
    </w:p>
    <w:p w14:paraId="4E3906CD" w14:textId="77777777" w:rsidR="00AF51F1" w:rsidRDefault="00711D3C">
      <w:pPr>
        <w:pStyle w:val="09-Bodytext"/>
      </w:pPr>
      <w:r>
        <w:t xml:space="preserve">From 1 April 2015, benefits are calculated </w:t>
      </w:r>
      <w:proofErr w:type="gramStart"/>
      <w:r>
        <w:t>on the basis of</w:t>
      </w:r>
      <w:proofErr w:type="gramEnd"/>
      <w:r>
        <w:t xml:space="preserve"> a revalued annual pension built up of 1/49</w:t>
      </w:r>
      <w:r>
        <w:rPr>
          <w:vertAlign w:val="superscript"/>
        </w:rPr>
        <w:t>th</w:t>
      </w:r>
      <w:r>
        <w:t> of pensionable pay each year, plus inflation to keep up with the cost of living.  Prior to this date, the accrual rate guaranteed a pension based on 1/60</w:t>
      </w:r>
      <w:r>
        <w:rPr>
          <w:vertAlign w:val="superscript"/>
        </w:rPr>
        <w:t>th</w:t>
      </w:r>
      <w:r>
        <w:t> of final pensionable salary and years of pensionable service and prior to 2009 the accrual rate guaranteed a pension based on 1/80</w:t>
      </w:r>
      <w:r>
        <w:rPr>
          <w:vertAlign w:val="superscript"/>
        </w:rPr>
        <w:t>th</w:t>
      </w:r>
      <w:r>
        <w:t> and a lump sum based on 3/80</w:t>
      </w:r>
      <w:r>
        <w:rPr>
          <w:vertAlign w:val="superscript"/>
        </w:rPr>
        <w:t>th</w:t>
      </w:r>
      <w:r>
        <w:t xml:space="preserve"> of final pensionable salary and years of pensionable service. </w:t>
      </w:r>
    </w:p>
    <w:p w14:paraId="7CC6D810" w14:textId="77777777" w:rsidR="00AF51F1" w:rsidRDefault="00AF51F1">
      <w:pPr>
        <w:pStyle w:val="09-Bodytext"/>
      </w:pPr>
    </w:p>
    <w:p w14:paraId="735BC5BC" w14:textId="77777777" w:rsidR="00AF51F1" w:rsidRDefault="00711D3C">
      <w:pPr>
        <w:pStyle w:val="09-Bodytext"/>
      </w:pPr>
      <w:r>
        <w:t xml:space="preserve">The value of the benefits has been calculated without exercising any option to commute pension entitlement into a lump sum and without any adjustment for the effects of future inflation. </w:t>
      </w:r>
    </w:p>
    <w:p w14:paraId="22BDBB1B" w14:textId="77777777" w:rsidR="00AF51F1" w:rsidRDefault="00711D3C">
      <w:pPr>
        <w:pStyle w:val="09-Bodytext"/>
      </w:pPr>
      <w:r>
        <w:tab/>
      </w:r>
    </w:p>
    <w:p w14:paraId="63BFAD62" w14:textId="77777777" w:rsidR="00AF51F1" w:rsidRDefault="00711D3C">
      <w:pPr>
        <w:pStyle w:val="09-Bodytext"/>
      </w:pPr>
      <w:r>
        <w:rPr>
          <w:rFonts w:cs="Arial"/>
        </w:rPr>
        <w:t xml:space="preserve">In those cases where members have transferred pension entitlements from previous employments, the pension figures shown relate to the benefits that the person has accrued </w:t>
      </w:r>
      <w:proofErr w:type="gramStart"/>
      <w:r>
        <w:rPr>
          <w:rFonts w:cs="Arial"/>
        </w:rPr>
        <w:t>as a consequence of</w:t>
      </w:r>
      <w:proofErr w:type="gramEnd"/>
      <w:r>
        <w:rPr>
          <w:rFonts w:cs="Arial"/>
        </w:rPr>
        <w:t xml:space="preserve"> their total local government service, and not just their current appointment. It also reflects both employer and employee contributions.</w:t>
      </w:r>
    </w:p>
    <w:p w14:paraId="4B6B79BE" w14:textId="77777777" w:rsidR="00AF51F1" w:rsidRDefault="00AF51F1">
      <w:pPr>
        <w:pStyle w:val="09-Bodytext"/>
      </w:pPr>
    </w:p>
    <w:p w14:paraId="752A5280" w14:textId="77777777" w:rsidR="00AF51F1" w:rsidRDefault="00711D3C">
      <w:pPr>
        <w:pStyle w:val="09-Bodytext"/>
        <w:rPr>
          <w:rFonts w:cs="Arial"/>
        </w:rPr>
      </w:pPr>
      <w:r>
        <w:rPr>
          <w:rFonts w:cs="Arial"/>
        </w:rPr>
        <w:t>The Pension entitlement of Senior Employees for the year to 31 March 2021 are shown in the Table 5, together with the contribution made by the Board to each senior employees’ pension during the year.  The accrued pension benefit reflects both the employer and employee contributions.</w:t>
      </w:r>
    </w:p>
    <w:p w14:paraId="73ABE897" w14:textId="77777777" w:rsidR="00AF51F1" w:rsidRDefault="00AF51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2506DEDF" w14:textId="77777777" w:rsidR="00AF51F1" w:rsidRDefault="00711D3C">
      <w:pPr>
        <w:pStyle w:val="09-Bodytext"/>
        <w:rPr>
          <w:b/>
          <w:bCs/>
        </w:rPr>
      </w:pPr>
      <w:r>
        <w:rPr>
          <w:b/>
          <w:bCs/>
        </w:rPr>
        <w:t>Table 5 – Pension Benefits: Senior Employees</w:t>
      </w:r>
    </w:p>
    <w:p w14:paraId="13A0C7CA" w14:textId="77777777" w:rsidR="00AF51F1" w:rsidRDefault="00AF51F1">
      <w:pPr>
        <w:pStyle w:val="09-Bodytext"/>
        <w:rPr>
          <w:shd w:val="clear" w:color="auto" w:fill="FFFF00"/>
        </w:rPr>
      </w:pPr>
    </w:p>
    <w:tbl>
      <w:tblPr>
        <w:tblW w:w="10632" w:type="dxa"/>
        <w:tblInd w:w="-714" w:type="dxa"/>
        <w:tblCellMar>
          <w:left w:w="10" w:type="dxa"/>
          <w:right w:w="10" w:type="dxa"/>
        </w:tblCellMar>
        <w:tblLook w:val="0000" w:firstRow="0" w:lastRow="0" w:firstColumn="0" w:lastColumn="0" w:noHBand="0" w:noVBand="0"/>
      </w:tblPr>
      <w:tblGrid>
        <w:gridCol w:w="2977"/>
        <w:gridCol w:w="1418"/>
        <w:gridCol w:w="1559"/>
        <w:gridCol w:w="1559"/>
        <w:gridCol w:w="1560"/>
        <w:gridCol w:w="1559"/>
      </w:tblGrid>
      <w:tr w:rsidR="00AF51F1" w14:paraId="2BD03031"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D3B65" w14:textId="77777777" w:rsidR="00AF51F1" w:rsidRDefault="00711D3C">
            <w:pPr>
              <w:pStyle w:val="09-Bodytext"/>
              <w:rPr>
                <w:b/>
                <w:bCs/>
              </w:rPr>
            </w:pPr>
            <w:r>
              <w:rPr>
                <w:b/>
                <w:bCs/>
              </w:rPr>
              <w:t>Name / Post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C4F34" w14:textId="77777777" w:rsidR="00AF51F1" w:rsidRDefault="00AF51F1">
            <w:pPr>
              <w:pStyle w:val="09-Bodytext"/>
              <w:rPr>
                <w:b/>
                <w:b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782F7" w14:textId="77777777" w:rsidR="00AF51F1" w:rsidRDefault="00AF51F1">
            <w:pPr>
              <w:pStyle w:val="09-Bodytext"/>
              <w:jc w:val="right"/>
              <w:rPr>
                <w:b/>
                <w:bCs/>
              </w:rPr>
            </w:pPr>
          </w:p>
          <w:p w14:paraId="7F6807FB" w14:textId="77777777" w:rsidR="00AF51F1" w:rsidRDefault="00AF51F1">
            <w:pPr>
              <w:pStyle w:val="09-Bodytext"/>
              <w:jc w:val="right"/>
              <w:rPr>
                <w:b/>
                <w:bCs/>
              </w:rPr>
            </w:pPr>
          </w:p>
          <w:p w14:paraId="5507289C" w14:textId="77777777" w:rsidR="00AF51F1" w:rsidRDefault="00711D3C">
            <w:pPr>
              <w:pStyle w:val="09-Bodytext"/>
              <w:jc w:val="right"/>
              <w:rPr>
                <w:b/>
                <w:bCs/>
              </w:rPr>
            </w:pPr>
            <w:r>
              <w:rPr>
                <w:b/>
                <w:bCs/>
              </w:rPr>
              <w:t>Accrued Pension Benefits March 2022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DCF67" w14:textId="77777777" w:rsidR="00AF51F1" w:rsidRDefault="00711D3C">
            <w:pPr>
              <w:pStyle w:val="09-Bodytext"/>
              <w:jc w:val="right"/>
              <w:rPr>
                <w:b/>
                <w:bCs/>
              </w:rPr>
            </w:pPr>
            <w:r>
              <w:rPr>
                <w:b/>
                <w:bCs/>
              </w:rPr>
              <w:t>Movement in accrued pension benefits since 31 March 2021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A5705" w14:textId="77777777" w:rsidR="00AF51F1" w:rsidRDefault="00AF51F1">
            <w:pPr>
              <w:pStyle w:val="09-Bodytext"/>
              <w:jc w:val="right"/>
              <w:rPr>
                <w:b/>
                <w:bCs/>
              </w:rPr>
            </w:pPr>
          </w:p>
          <w:p w14:paraId="6AE921EC" w14:textId="77777777" w:rsidR="00AF51F1" w:rsidRDefault="00711D3C">
            <w:pPr>
              <w:pStyle w:val="09-Bodytext"/>
              <w:jc w:val="right"/>
              <w:rPr>
                <w:b/>
                <w:bCs/>
              </w:rPr>
            </w:pPr>
            <w:r>
              <w:rPr>
                <w:b/>
                <w:bCs/>
              </w:rPr>
              <w:t>Pension Contribution made by Board 2021/22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7430A" w14:textId="77777777" w:rsidR="00AF51F1" w:rsidRDefault="00AF51F1">
            <w:pPr>
              <w:pStyle w:val="09-Bodytext"/>
              <w:jc w:val="right"/>
              <w:rPr>
                <w:b/>
                <w:bCs/>
              </w:rPr>
            </w:pPr>
          </w:p>
          <w:p w14:paraId="5363841D" w14:textId="77777777" w:rsidR="00AF51F1" w:rsidRDefault="00711D3C">
            <w:pPr>
              <w:pStyle w:val="09-Bodytext"/>
              <w:jc w:val="right"/>
              <w:rPr>
                <w:b/>
                <w:bCs/>
              </w:rPr>
            </w:pPr>
            <w:r>
              <w:rPr>
                <w:b/>
                <w:bCs/>
              </w:rPr>
              <w:t>Pension Contribution made by Board 2020/21</w:t>
            </w:r>
          </w:p>
        </w:tc>
      </w:tr>
      <w:tr w:rsidR="00AF51F1" w14:paraId="3C712BFE"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5919A" w14:textId="77777777" w:rsidR="00AF51F1" w:rsidRDefault="00711D3C">
            <w:pPr>
              <w:pStyle w:val="09-Bodytext"/>
              <w:rPr>
                <w:b/>
                <w:bCs/>
              </w:rPr>
            </w:pPr>
            <w:r>
              <w:rPr>
                <w:b/>
                <w:bCs/>
              </w:rPr>
              <w:t>G Bennett</w:t>
            </w:r>
          </w:p>
          <w:p w14:paraId="583FBDED" w14:textId="77777777" w:rsidR="00AF51F1" w:rsidRDefault="00711D3C">
            <w:pPr>
              <w:pStyle w:val="09-Bodytext"/>
            </w:pPr>
            <w:r>
              <w:t>Assessor and Electoral Registration Officer</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6060A" w14:textId="77777777" w:rsidR="00AF51F1" w:rsidRDefault="00711D3C">
            <w:pPr>
              <w:pStyle w:val="09-Bodytext"/>
            </w:pPr>
            <w:r>
              <w:t>Pension</w:t>
            </w:r>
          </w:p>
          <w:p w14:paraId="0502786A" w14:textId="77777777" w:rsidR="00AF51F1" w:rsidRDefault="00711D3C">
            <w:pPr>
              <w:pStyle w:val="09-Bodytext"/>
            </w:pPr>
            <w:r>
              <w:t>Lump Sum</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2389F" w14:textId="77777777" w:rsidR="00AF51F1" w:rsidRDefault="00711D3C">
            <w:pPr>
              <w:pStyle w:val="09-Bodytext"/>
              <w:jc w:val="right"/>
            </w:pPr>
            <w:r>
              <w:t>£65,369</w:t>
            </w:r>
          </w:p>
          <w:p w14:paraId="7DD31BDA" w14:textId="77777777" w:rsidR="00AF51F1" w:rsidRDefault="00711D3C">
            <w:pPr>
              <w:pStyle w:val="09-Bodytext"/>
              <w:jc w:val="right"/>
            </w:pPr>
            <w:r>
              <w:t>£109,366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07036" w14:textId="77777777" w:rsidR="00AF51F1" w:rsidRDefault="00711D3C">
            <w:pPr>
              <w:pStyle w:val="09-Bodytext"/>
              <w:jc w:val="right"/>
            </w:pPr>
            <w:r>
              <w:t>£2,828</w:t>
            </w:r>
          </w:p>
          <w:p w14:paraId="0B3D7E65" w14:textId="77777777" w:rsidR="00AF51F1" w:rsidRDefault="00711D3C">
            <w:pPr>
              <w:pStyle w:val="09-Bodytext"/>
              <w:jc w:val="right"/>
            </w:pPr>
            <w:r>
              <w:t>£717</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693B3" w14:textId="77777777" w:rsidR="00AF51F1" w:rsidRDefault="00711D3C">
            <w:pPr>
              <w:pStyle w:val="09-Bodytext"/>
              <w:jc w:val="right"/>
            </w:pPr>
            <w:r>
              <w:t>£23,142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D1DE8" w14:textId="77777777" w:rsidR="00AF51F1" w:rsidRDefault="00711D3C">
            <w:pPr>
              <w:pStyle w:val="09-Bodytext"/>
              <w:jc w:val="right"/>
            </w:pPr>
            <w:r>
              <w:t>£22,962</w:t>
            </w:r>
          </w:p>
        </w:tc>
      </w:tr>
      <w:tr w:rsidR="00AF51F1" w14:paraId="311D9D53"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17987" w14:textId="77777777" w:rsidR="00AF51F1" w:rsidRDefault="00711D3C">
            <w:pPr>
              <w:pStyle w:val="09-Bodytext"/>
              <w:rPr>
                <w:b/>
                <w:bCs/>
              </w:rPr>
            </w:pPr>
            <w:r>
              <w:rPr>
                <w:b/>
                <w:bCs/>
              </w:rPr>
              <w:t>J Neason</w:t>
            </w:r>
          </w:p>
          <w:p w14:paraId="1F900A1C" w14:textId="77777777" w:rsidR="00AF51F1" w:rsidRDefault="00711D3C">
            <w:pPr>
              <w:pStyle w:val="09-Bodytext"/>
            </w:pPr>
            <w:r>
              <w:t>Assistant Assessor and Electoral Registration Officer</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09462" w14:textId="77777777" w:rsidR="00AF51F1" w:rsidRDefault="00711D3C">
            <w:pPr>
              <w:pStyle w:val="09-Bodytext"/>
            </w:pPr>
            <w:r>
              <w:t>Pension</w:t>
            </w:r>
          </w:p>
          <w:p w14:paraId="09A966FF" w14:textId="77777777" w:rsidR="00AF51F1" w:rsidRDefault="00711D3C">
            <w:pPr>
              <w:pStyle w:val="09-Bodytext"/>
            </w:pPr>
            <w:r>
              <w:t>Lump Sum</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0ED9F" w14:textId="77777777" w:rsidR="00AF51F1" w:rsidRDefault="00711D3C">
            <w:pPr>
              <w:pStyle w:val="09-Bodytext"/>
              <w:jc w:val="right"/>
            </w:pPr>
            <w:r>
              <w:t>£42,383</w:t>
            </w:r>
          </w:p>
          <w:p w14:paraId="4A08D450" w14:textId="77777777" w:rsidR="00AF51F1" w:rsidRDefault="00711D3C">
            <w:pPr>
              <w:pStyle w:val="09-Bodytext"/>
              <w:jc w:val="right"/>
            </w:pPr>
            <w:r>
              <w:t>£73,544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5DBF3" w14:textId="77777777" w:rsidR="00AF51F1" w:rsidRDefault="00711D3C">
            <w:pPr>
              <w:pStyle w:val="09-Bodytext"/>
              <w:jc w:val="right"/>
            </w:pPr>
            <w:r>
              <w:t>£2,184</w:t>
            </w:r>
          </w:p>
          <w:p w14:paraId="7493DFC7" w14:textId="77777777" w:rsidR="00AF51F1" w:rsidRDefault="00711D3C">
            <w:pPr>
              <w:pStyle w:val="09-Bodytext"/>
              <w:jc w:val="right"/>
            </w:pPr>
            <w:r>
              <w:t>£733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CC1B6" w14:textId="77777777" w:rsidR="00AF51F1" w:rsidRDefault="00711D3C">
            <w:pPr>
              <w:pStyle w:val="09-Bodytext"/>
              <w:jc w:val="right"/>
            </w:pPr>
            <w:r>
              <w:t>£14,140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05D06" w14:textId="77777777" w:rsidR="00AF51F1" w:rsidRDefault="00711D3C">
            <w:pPr>
              <w:pStyle w:val="09-Bodytext"/>
              <w:jc w:val="right"/>
            </w:pPr>
            <w:r>
              <w:t>£13,983</w:t>
            </w:r>
          </w:p>
        </w:tc>
      </w:tr>
      <w:tr w:rsidR="00AF51F1" w14:paraId="06ADD556"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95371" w14:textId="77777777" w:rsidR="00AF51F1" w:rsidRDefault="00711D3C">
            <w:pPr>
              <w:pStyle w:val="09-Bodytext"/>
              <w:rPr>
                <w:b/>
                <w:bCs/>
              </w:rPr>
            </w:pPr>
            <w:r>
              <w:rPr>
                <w:b/>
                <w:bCs/>
              </w:rPr>
              <w:t>R Pacitti</w:t>
            </w:r>
          </w:p>
          <w:p w14:paraId="4472EB2B" w14:textId="77777777" w:rsidR="00AF51F1" w:rsidRDefault="00711D3C">
            <w:pPr>
              <w:pStyle w:val="09-Bodytext"/>
            </w:pPr>
            <w:r>
              <w:t xml:space="preserve">Assistant Assessor and Electoral Registration Officer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4B7A7" w14:textId="77777777" w:rsidR="00AF51F1" w:rsidRDefault="00711D3C">
            <w:pPr>
              <w:pStyle w:val="09-Bodytext"/>
            </w:pPr>
            <w:r>
              <w:t>Pension</w:t>
            </w:r>
          </w:p>
          <w:p w14:paraId="3AF62BC7" w14:textId="77777777" w:rsidR="00AF51F1" w:rsidRDefault="00711D3C">
            <w:pPr>
              <w:pStyle w:val="09-Bodytext"/>
            </w:pPr>
            <w:r>
              <w:t>Lump Sum</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A4E48" w14:textId="77777777" w:rsidR="00AF51F1" w:rsidRDefault="00711D3C">
            <w:pPr>
              <w:pStyle w:val="09-Bodytext"/>
              <w:jc w:val="right"/>
            </w:pPr>
            <w:r>
              <w:t>£37,970</w:t>
            </w:r>
          </w:p>
          <w:p w14:paraId="6D99E397" w14:textId="77777777" w:rsidR="00AF51F1" w:rsidRDefault="00711D3C">
            <w:pPr>
              <w:pStyle w:val="09-Bodytext"/>
              <w:jc w:val="right"/>
            </w:pPr>
            <w:r>
              <w:t>£66,492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D03FA" w14:textId="77777777" w:rsidR="00AF51F1" w:rsidRDefault="00711D3C">
            <w:pPr>
              <w:pStyle w:val="09-Bodytext"/>
              <w:jc w:val="right"/>
            </w:pPr>
            <w:r>
              <w:t>£1,821</w:t>
            </w:r>
          </w:p>
          <w:p w14:paraId="454E6BDB" w14:textId="77777777" w:rsidR="00AF51F1" w:rsidRDefault="00711D3C">
            <w:pPr>
              <w:pStyle w:val="09-Bodytext"/>
              <w:jc w:val="right"/>
            </w:pPr>
            <w:r>
              <w:t>£663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C88D2" w14:textId="77777777" w:rsidR="00AF51F1" w:rsidRDefault="00711D3C">
            <w:pPr>
              <w:pStyle w:val="09-Bodytext"/>
              <w:jc w:val="right"/>
            </w:pPr>
            <w:r>
              <w:t>£14,140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9DF71" w14:textId="77777777" w:rsidR="00AF51F1" w:rsidRDefault="00711D3C">
            <w:pPr>
              <w:pStyle w:val="09-Bodytext"/>
              <w:jc w:val="right"/>
            </w:pPr>
            <w:r>
              <w:t>£13,983</w:t>
            </w:r>
          </w:p>
        </w:tc>
      </w:tr>
      <w:tr w:rsidR="00AF51F1" w14:paraId="6FD45F6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DEB34" w14:textId="77777777" w:rsidR="00AF51F1" w:rsidRDefault="00711D3C">
            <w:pPr>
              <w:pStyle w:val="09-Bodytext"/>
              <w:rPr>
                <w:b/>
                <w:bCs/>
              </w:rPr>
            </w:pPr>
            <w:r>
              <w:rPr>
                <w:b/>
                <w:bCs/>
              </w:rPr>
              <w:t>Total</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5151D" w14:textId="77777777" w:rsidR="00AF51F1" w:rsidRDefault="00AF51F1">
            <w:pPr>
              <w:pStyle w:val="09-Bodytext"/>
              <w:rPr>
                <w:b/>
                <w:b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7D09B" w14:textId="77777777" w:rsidR="00AF51F1" w:rsidRDefault="00AF51F1">
            <w:pPr>
              <w:pStyle w:val="09-Bodytext"/>
              <w:jc w:val="right"/>
              <w:rPr>
                <w:b/>
                <w:bC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A8056" w14:textId="77777777" w:rsidR="00AF51F1" w:rsidRDefault="00AF51F1">
            <w:pPr>
              <w:pStyle w:val="09-Bodytext"/>
              <w:jc w:val="right"/>
              <w:rPr>
                <w:b/>
                <w:bC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A154B" w14:textId="77777777" w:rsidR="00AF51F1" w:rsidRDefault="00711D3C">
            <w:pPr>
              <w:pStyle w:val="09-Bodytext"/>
              <w:jc w:val="right"/>
              <w:rPr>
                <w:b/>
                <w:bCs/>
              </w:rPr>
            </w:pPr>
            <w:r>
              <w:rPr>
                <w:b/>
                <w:bCs/>
              </w:rPr>
              <w:t>£51,422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FC4F9" w14:textId="77777777" w:rsidR="00AF51F1" w:rsidRDefault="00711D3C">
            <w:pPr>
              <w:pStyle w:val="09-Bodytext"/>
              <w:jc w:val="right"/>
              <w:rPr>
                <w:b/>
                <w:bCs/>
              </w:rPr>
            </w:pPr>
            <w:r>
              <w:rPr>
                <w:b/>
                <w:bCs/>
              </w:rPr>
              <w:t>£50,928</w:t>
            </w:r>
          </w:p>
        </w:tc>
      </w:tr>
    </w:tbl>
    <w:p w14:paraId="415D7957" w14:textId="77777777" w:rsidR="00AF51F1" w:rsidRDefault="00AF51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Arial"/>
          <w:sz w:val="22"/>
          <w:szCs w:val="22"/>
        </w:rPr>
      </w:pPr>
    </w:p>
    <w:p w14:paraId="3A04E6FB" w14:textId="3B5BA610" w:rsidR="005351E2" w:rsidRDefault="005351E2">
      <w:pPr>
        <w:suppressAutoHyphens w:val="0"/>
        <w:rPr>
          <w:rFonts w:cs="Arial"/>
          <w:sz w:val="22"/>
          <w:szCs w:val="22"/>
          <w:shd w:val="clear" w:color="auto" w:fill="FFFF00"/>
        </w:rPr>
      </w:pPr>
      <w:r>
        <w:rPr>
          <w:rFonts w:cs="Arial"/>
          <w:sz w:val="22"/>
          <w:szCs w:val="22"/>
          <w:shd w:val="clear" w:color="auto" w:fill="FFFF00"/>
        </w:rPr>
        <w:br w:type="page"/>
      </w:r>
    </w:p>
    <w:p w14:paraId="3FD8E72C" w14:textId="77777777" w:rsidR="00AF51F1" w:rsidRDefault="00711D3C">
      <w:pPr>
        <w:pStyle w:val="09-Bodytext"/>
        <w:rPr>
          <w:b/>
          <w:bCs/>
        </w:rPr>
      </w:pPr>
      <w:r>
        <w:rPr>
          <w:b/>
          <w:bCs/>
        </w:rPr>
        <w:lastRenderedPageBreak/>
        <w:t>Table 6 – Pension Benefits: Convenors and Depute Convenors</w:t>
      </w:r>
    </w:p>
    <w:p w14:paraId="7F294D29" w14:textId="77777777" w:rsidR="00AF51F1" w:rsidRDefault="00AF51F1">
      <w:pPr>
        <w:pStyle w:val="09-Bodytext"/>
        <w:rPr>
          <w:b/>
          <w:bCs/>
        </w:rPr>
      </w:pPr>
    </w:p>
    <w:tbl>
      <w:tblPr>
        <w:tblW w:w="5387" w:type="dxa"/>
        <w:tblInd w:w="-5" w:type="dxa"/>
        <w:tblCellMar>
          <w:left w:w="10" w:type="dxa"/>
          <w:right w:w="10" w:type="dxa"/>
        </w:tblCellMar>
        <w:tblLook w:val="0000" w:firstRow="0" w:lastRow="0" w:firstColumn="0" w:lastColumn="0" w:noHBand="0" w:noVBand="0"/>
      </w:tblPr>
      <w:tblGrid>
        <w:gridCol w:w="2268"/>
        <w:gridCol w:w="1560"/>
        <w:gridCol w:w="1559"/>
      </w:tblGrid>
      <w:tr w:rsidR="00AF51F1" w14:paraId="1DE3D025" w14:textId="77777777">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2175A" w14:textId="77777777" w:rsidR="00AF51F1" w:rsidRDefault="00711D3C">
            <w:pPr>
              <w:pStyle w:val="09-Bodytext"/>
              <w:rPr>
                <w:b/>
                <w:bCs/>
              </w:rPr>
            </w:pPr>
            <w:r>
              <w:rPr>
                <w:b/>
                <w:bCs/>
              </w:rPr>
              <w:t>Name / Post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6C279" w14:textId="77777777" w:rsidR="00AF51F1" w:rsidRDefault="00AF51F1">
            <w:pPr>
              <w:pStyle w:val="09-Bodytext"/>
              <w:jc w:val="right"/>
              <w:rPr>
                <w:b/>
                <w:bCs/>
              </w:rPr>
            </w:pPr>
          </w:p>
          <w:p w14:paraId="571F494A" w14:textId="77777777" w:rsidR="00AF51F1" w:rsidRDefault="00711D3C">
            <w:pPr>
              <w:pStyle w:val="09-Bodytext"/>
              <w:jc w:val="right"/>
              <w:rPr>
                <w:b/>
                <w:bCs/>
              </w:rPr>
            </w:pPr>
            <w:r>
              <w:rPr>
                <w:b/>
                <w:bCs/>
              </w:rPr>
              <w:t>Pension Contribution made by Board 2021/22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B7199" w14:textId="77777777" w:rsidR="00AF51F1" w:rsidRDefault="00AF51F1">
            <w:pPr>
              <w:pStyle w:val="09-Bodytext"/>
              <w:jc w:val="right"/>
              <w:rPr>
                <w:b/>
                <w:bCs/>
              </w:rPr>
            </w:pPr>
          </w:p>
          <w:p w14:paraId="7751F2FD" w14:textId="77777777" w:rsidR="00AF51F1" w:rsidRDefault="00711D3C">
            <w:pPr>
              <w:pStyle w:val="09-Bodytext"/>
              <w:jc w:val="right"/>
              <w:rPr>
                <w:b/>
                <w:bCs/>
              </w:rPr>
            </w:pPr>
            <w:r>
              <w:rPr>
                <w:b/>
                <w:bCs/>
              </w:rPr>
              <w:t>Pension Contribution made by Board 2020/21</w:t>
            </w:r>
          </w:p>
        </w:tc>
      </w:tr>
      <w:tr w:rsidR="00AF51F1" w14:paraId="71DB546B" w14:textId="77777777">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4D536" w14:textId="77777777" w:rsidR="00AF51F1" w:rsidRDefault="00711D3C">
            <w:pPr>
              <w:pStyle w:val="09-Bodytext"/>
              <w:rPr>
                <w:b/>
                <w:bCs/>
              </w:rPr>
            </w:pPr>
            <w:r>
              <w:rPr>
                <w:b/>
                <w:bCs/>
              </w:rPr>
              <w:t>L Hamilton</w:t>
            </w:r>
          </w:p>
          <w:p w14:paraId="7F64542D" w14:textId="77777777" w:rsidR="00AF51F1" w:rsidRDefault="00711D3C">
            <w:pPr>
              <w:pStyle w:val="09-Bodytext"/>
            </w:pPr>
            <w:r>
              <w:t>Depute Convenor</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E4133" w14:textId="77777777" w:rsidR="00AF51F1" w:rsidRDefault="00711D3C">
            <w:pPr>
              <w:pStyle w:val="09-Bodytext"/>
              <w:jc w:val="right"/>
            </w:pPr>
            <w:r>
              <w:t>£671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82F4D" w14:textId="77777777" w:rsidR="00AF51F1" w:rsidRDefault="00711D3C">
            <w:pPr>
              <w:pStyle w:val="09-Bodytext"/>
              <w:jc w:val="right"/>
            </w:pPr>
            <w:r>
              <w:t>£644</w:t>
            </w:r>
          </w:p>
        </w:tc>
      </w:tr>
    </w:tbl>
    <w:p w14:paraId="06427699" w14:textId="77777777" w:rsidR="00AF51F1" w:rsidRDefault="00AF51F1">
      <w:pPr>
        <w:pStyle w:val="09-Bodytext"/>
      </w:pPr>
    </w:p>
    <w:p w14:paraId="3ECC8A73" w14:textId="77777777" w:rsidR="00AF51F1" w:rsidRDefault="00711D3C">
      <w:pPr>
        <w:pStyle w:val="09-Bodytext"/>
        <w:rPr>
          <w:b/>
          <w:bCs/>
        </w:rPr>
      </w:pPr>
      <w:r>
        <w:rPr>
          <w:b/>
          <w:bCs/>
        </w:rPr>
        <w:t>Exit Packages</w:t>
      </w:r>
    </w:p>
    <w:p w14:paraId="47E82077" w14:textId="77777777" w:rsidR="00AF51F1" w:rsidRDefault="00711D3C">
      <w:pPr>
        <w:pStyle w:val="09-Bodytext"/>
      </w:pPr>
      <w:r>
        <w:t>There were no exit packages agreed or paid for financial years 2021/2022 or 2020/2021.</w:t>
      </w:r>
    </w:p>
    <w:p w14:paraId="2F324209" w14:textId="77777777" w:rsidR="00AF51F1" w:rsidRDefault="00AF51F1">
      <w:pPr>
        <w:pStyle w:val="09-Bodytext"/>
      </w:pPr>
    </w:p>
    <w:p w14:paraId="71D32DD3" w14:textId="77777777" w:rsidR="00C024A0" w:rsidRDefault="00C024A0" w:rsidP="00C024A0">
      <w:pPr>
        <w:pStyle w:val="09-Bodytext"/>
        <w:rPr>
          <w:b/>
          <w:bCs/>
        </w:rPr>
      </w:pPr>
      <w:r>
        <w:rPr>
          <w:noProof/>
        </w:rPr>
        <w:drawing>
          <wp:anchor distT="0" distB="0" distL="0" distR="0" simplePos="0" relativeHeight="251667456" behindDoc="0" locked="0" layoutInCell="1" allowOverlap="1" wp14:anchorId="0FE10D7B" wp14:editId="7ADFAC7D">
            <wp:simplePos x="0" y="0"/>
            <wp:positionH relativeFrom="margin">
              <wp:posOffset>0</wp:posOffset>
            </wp:positionH>
            <wp:positionV relativeFrom="paragraph">
              <wp:posOffset>160020</wp:posOffset>
            </wp:positionV>
            <wp:extent cx="1814195" cy="365760"/>
            <wp:effectExtent l="0" t="0" r="0" b="0"/>
            <wp:wrapSquare wrapText="bothSides"/>
            <wp:docPr id="9" name="image3.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3.jpeg">
                      <a:extLst>
                        <a:ext uri="{C183D7F6-B498-43B3-948B-1728B52AA6E4}">
                          <adec:decorative xmlns:adec="http://schemas.microsoft.com/office/drawing/2017/decorative" val="1"/>
                        </a:ext>
                      </a:extLst>
                    </pic:cNvPr>
                    <pic:cNvPicPr/>
                  </pic:nvPicPr>
                  <pic:blipFill>
                    <a:blip r:embed="rId10" cstate="print"/>
                    <a:stretch>
                      <a:fillRect/>
                    </a:stretch>
                  </pic:blipFill>
                  <pic:spPr>
                    <a:xfrm>
                      <a:off x="0" y="0"/>
                      <a:ext cx="1814195" cy="365760"/>
                    </a:xfrm>
                    <a:prstGeom prst="rect">
                      <a:avLst/>
                    </a:prstGeom>
                  </pic:spPr>
                </pic:pic>
              </a:graphicData>
            </a:graphic>
            <wp14:sizeRelH relativeFrom="margin">
              <wp14:pctWidth>0</wp14:pctWidth>
            </wp14:sizeRelH>
            <wp14:sizeRelV relativeFrom="margin">
              <wp14:pctHeight>0</wp14:pctHeight>
            </wp14:sizeRelV>
          </wp:anchor>
        </w:drawing>
      </w:r>
    </w:p>
    <w:p w14:paraId="4D91E4F9" w14:textId="77777777" w:rsidR="00C024A0" w:rsidRDefault="00C024A0" w:rsidP="00C024A0">
      <w:pPr>
        <w:pStyle w:val="09-Bodytext"/>
        <w:jc w:val="right"/>
        <w:rPr>
          <w:b/>
          <w:bCs/>
        </w:rPr>
      </w:pPr>
      <w:r>
        <w:rPr>
          <w:b/>
          <w:bCs/>
        </w:rPr>
        <w:tab/>
      </w:r>
      <w:r>
        <w:rPr>
          <w:b/>
          <w:bCs/>
        </w:rPr>
        <w:tab/>
      </w:r>
      <w:r>
        <w:rPr>
          <w:b/>
          <w:bCs/>
        </w:rPr>
        <w:tab/>
      </w:r>
      <w:r w:rsidRPr="00BE4A88">
        <w:rPr>
          <w:b/>
          <w:bCs/>
          <w:noProof/>
        </w:rPr>
        <w:drawing>
          <wp:inline distT="0" distB="0" distL="0" distR="0" wp14:anchorId="67CE4DA4" wp14:editId="66B129AA">
            <wp:extent cx="2491740" cy="495300"/>
            <wp:effectExtent l="0" t="0" r="3810" b="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2"/>
                    <a:stretch>
                      <a:fillRect/>
                    </a:stretch>
                  </pic:blipFill>
                  <pic:spPr>
                    <a:xfrm>
                      <a:off x="0" y="0"/>
                      <a:ext cx="2492092" cy="495370"/>
                    </a:xfrm>
                    <a:prstGeom prst="rect">
                      <a:avLst/>
                    </a:prstGeom>
                  </pic:spPr>
                </pic:pic>
              </a:graphicData>
            </a:graphic>
          </wp:inline>
        </w:drawing>
      </w:r>
    </w:p>
    <w:p w14:paraId="7109FEE5" w14:textId="77777777" w:rsidR="00C024A0" w:rsidRPr="001B3A5E" w:rsidRDefault="00C024A0" w:rsidP="00C024A0">
      <w:pPr>
        <w:pStyle w:val="09-Bodytext"/>
        <w:rPr>
          <w:b/>
          <w:bCs/>
        </w:rPr>
      </w:pPr>
      <w:r w:rsidRPr="001B3A5E">
        <w:rPr>
          <w:b/>
          <w:bCs/>
        </w:rPr>
        <w:t>Gary Bennett</w:t>
      </w:r>
      <w:r w:rsidRPr="001B3A5E">
        <w:rPr>
          <w:b/>
          <w:bCs/>
        </w:rPr>
        <w:tab/>
      </w:r>
      <w:r w:rsidRPr="001B3A5E">
        <w:rPr>
          <w:b/>
          <w:bCs/>
        </w:rPr>
        <w:tab/>
      </w:r>
      <w:r w:rsidRPr="001B3A5E">
        <w:rPr>
          <w:b/>
          <w:bCs/>
        </w:rPr>
        <w:tab/>
      </w:r>
      <w:r w:rsidRPr="001B3A5E">
        <w:rPr>
          <w:b/>
          <w:bCs/>
        </w:rPr>
        <w:tab/>
      </w:r>
      <w:r w:rsidRPr="001B3A5E">
        <w:rPr>
          <w:b/>
          <w:bCs/>
        </w:rPr>
        <w:tab/>
      </w:r>
      <w:r w:rsidRPr="001B3A5E">
        <w:rPr>
          <w:b/>
          <w:bCs/>
        </w:rPr>
        <w:tab/>
        <w:t>Councillor Walter Brogan</w:t>
      </w:r>
    </w:p>
    <w:p w14:paraId="27847A40" w14:textId="77777777" w:rsidR="00C024A0" w:rsidRPr="001B3A5E" w:rsidRDefault="00C024A0" w:rsidP="00C024A0">
      <w:pPr>
        <w:pStyle w:val="09-Bodytext"/>
        <w:rPr>
          <w:b/>
          <w:bCs/>
        </w:rPr>
      </w:pPr>
      <w:r w:rsidRPr="001B3A5E">
        <w:rPr>
          <w:b/>
          <w:bCs/>
        </w:rPr>
        <w:t>Assessor and ER Officer</w:t>
      </w:r>
      <w:r w:rsidRPr="001B3A5E">
        <w:rPr>
          <w:b/>
          <w:bCs/>
        </w:rPr>
        <w:tab/>
      </w:r>
      <w:r w:rsidRPr="001B3A5E">
        <w:rPr>
          <w:b/>
          <w:bCs/>
        </w:rPr>
        <w:tab/>
      </w:r>
      <w:r w:rsidRPr="001B3A5E">
        <w:rPr>
          <w:b/>
          <w:bCs/>
        </w:rPr>
        <w:tab/>
      </w:r>
      <w:r w:rsidRPr="001B3A5E">
        <w:rPr>
          <w:b/>
          <w:bCs/>
        </w:rPr>
        <w:tab/>
        <w:t>Convenor</w:t>
      </w:r>
    </w:p>
    <w:p w14:paraId="2052A1D3" w14:textId="77777777" w:rsidR="00C024A0" w:rsidRDefault="00C024A0" w:rsidP="00C024A0">
      <w:pPr>
        <w:pStyle w:val="09-Bodytext"/>
        <w:rPr>
          <w:b/>
          <w:bCs/>
        </w:rPr>
      </w:pPr>
      <w:r w:rsidRPr="001B3A5E">
        <w:rPr>
          <w:b/>
          <w:bCs/>
        </w:rPr>
        <w:t>5 September 2022</w:t>
      </w:r>
      <w:r w:rsidRPr="001B3A5E">
        <w:rPr>
          <w:b/>
          <w:bCs/>
        </w:rPr>
        <w:tab/>
      </w:r>
      <w:r w:rsidRPr="001B3A5E">
        <w:rPr>
          <w:b/>
          <w:bCs/>
        </w:rPr>
        <w:tab/>
      </w:r>
      <w:r w:rsidRPr="001B3A5E">
        <w:rPr>
          <w:b/>
          <w:bCs/>
        </w:rPr>
        <w:tab/>
      </w:r>
      <w:r w:rsidRPr="001B3A5E">
        <w:rPr>
          <w:b/>
          <w:bCs/>
        </w:rPr>
        <w:tab/>
      </w:r>
      <w:r w:rsidRPr="001B3A5E">
        <w:rPr>
          <w:b/>
          <w:bCs/>
        </w:rPr>
        <w:tab/>
        <w:t>5 September 2022</w:t>
      </w:r>
    </w:p>
    <w:p w14:paraId="1D16D473" w14:textId="77777777" w:rsidR="00C024A0" w:rsidRDefault="00C024A0" w:rsidP="00C024A0">
      <w:pPr>
        <w:pStyle w:val="09-Bodytext"/>
        <w:rPr>
          <w:b/>
          <w:bCs/>
        </w:rPr>
      </w:pPr>
    </w:p>
    <w:p w14:paraId="48C799E9" w14:textId="77777777" w:rsidR="00AF51F1" w:rsidRDefault="00711D3C">
      <w:pPr>
        <w:spacing w:after="160"/>
        <w:contextualSpacing/>
      </w:pPr>
      <w:r>
        <w:rPr>
          <w:rFonts w:cs="Arial"/>
          <w:b/>
          <w:sz w:val="22"/>
          <w:szCs w:val="22"/>
        </w:rPr>
        <w:tab/>
      </w:r>
    </w:p>
    <w:p w14:paraId="2C685E0E" w14:textId="77777777" w:rsidR="00AF51F1" w:rsidRDefault="00AF51F1">
      <w:pPr>
        <w:spacing w:after="160"/>
        <w:contextualSpacing/>
        <w:rPr>
          <w:rFonts w:cs="Arial"/>
          <w:b/>
          <w:sz w:val="22"/>
          <w:szCs w:val="22"/>
        </w:rPr>
      </w:pPr>
    </w:p>
    <w:p w14:paraId="2A53CE19" w14:textId="085AFD90" w:rsidR="005351E2" w:rsidRDefault="005351E2">
      <w:pPr>
        <w:suppressAutoHyphens w:val="0"/>
        <w:rPr>
          <w:rFonts w:cs="Arial"/>
          <w:b/>
          <w:sz w:val="22"/>
          <w:szCs w:val="22"/>
          <w:shd w:val="clear" w:color="auto" w:fill="FFFF00"/>
        </w:rPr>
      </w:pPr>
    </w:p>
    <w:p w14:paraId="434D524C" w14:textId="77777777" w:rsidR="00AF51F1" w:rsidRDefault="00AF51F1">
      <w:pPr>
        <w:spacing w:after="160"/>
        <w:contextualSpacing/>
        <w:rPr>
          <w:rFonts w:cs="Arial"/>
          <w:b/>
          <w:sz w:val="22"/>
          <w:szCs w:val="22"/>
          <w:shd w:val="clear" w:color="auto" w:fill="FFFF00"/>
        </w:rPr>
      </w:pPr>
    </w:p>
    <w:p w14:paraId="6C164ED9" w14:textId="77777777" w:rsidR="00AF51F1" w:rsidRDefault="00AF51F1">
      <w:pPr>
        <w:spacing w:after="160"/>
        <w:contextualSpacing/>
        <w:rPr>
          <w:rFonts w:cs="Arial"/>
          <w:b/>
          <w:sz w:val="22"/>
          <w:szCs w:val="22"/>
          <w:shd w:val="clear" w:color="auto" w:fill="FFFF00"/>
        </w:rPr>
      </w:pPr>
    </w:p>
    <w:p w14:paraId="2EDBDCC2" w14:textId="77777777" w:rsidR="00AF51F1" w:rsidRDefault="00AF51F1">
      <w:pPr>
        <w:spacing w:after="160"/>
        <w:contextualSpacing/>
        <w:rPr>
          <w:rFonts w:cs="Arial"/>
          <w:b/>
          <w:sz w:val="22"/>
          <w:szCs w:val="22"/>
          <w:shd w:val="clear" w:color="auto" w:fill="FFFF00"/>
        </w:rPr>
      </w:pPr>
    </w:p>
    <w:p w14:paraId="43B0D71E" w14:textId="77777777" w:rsidR="00AF51F1" w:rsidRDefault="00AF51F1">
      <w:pPr>
        <w:spacing w:after="160"/>
        <w:contextualSpacing/>
        <w:rPr>
          <w:rFonts w:cs="Arial"/>
          <w:b/>
          <w:sz w:val="22"/>
          <w:szCs w:val="22"/>
          <w:shd w:val="clear" w:color="auto" w:fill="FFFF00"/>
        </w:rPr>
      </w:pPr>
    </w:p>
    <w:p w14:paraId="72396F2A" w14:textId="77777777" w:rsidR="00AF51F1" w:rsidRDefault="00AF51F1">
      <w:pPr>
        <w:spacing w:after="160"/>
        <w:contextualSpacing/>
        <w:rPr>
          <w:rFonts w:cs="Arial"/>
          <w:b/>
          <w:sz w:val="22"/>
          <w:szCs w:val="22"/>
          <w:shd w:val="clear" w:color="auto" w:fill="FFFF00"/>
        </w:rPr>
      </w:pPr>
    </w:p>
    <w:p w14:paraId="0B4BB39A" w14:textId="77777777" w:rsidR="005351E2" w:rsidRDefault="005351E2">
      <w:pPr>
        <w:suppressAutoHyphens w:val="0"/>
        <w:rPr>
          <w:rFonts w:cs="Arial"/>
          <w:b/>
          <w:sz w:val="22"/>
          <w:szCs w:val="22"/>
          <w:shd w:val="clear" w:color="auto" w:fill="FFFF00"/>
        </w:rPr>
      </w:pPr>
      <w:r>
        <w:rPr>
          <w:rFonts w:cs="Arial"/>
          <w:bCs/>
          <w:sz w:val="22"/>
          <w:szCs w:val="22"/>
          <w:shd w:val="clear" w:color="auto" w:fill="FFFF00"/>
        </w:rPr>
        <w:br w:type="page"/>
      </w:r>
    </w:p>
    <w:p w14:paraId="65456B09" w14:textId="25BE2986" w:rsidR="00AF51F1" w:rsidRDefault="00711D3C">
      <w:pPr>
        <w:pStyle w:val="Heading2"/>
        <w:rPr>
          <w:sz w:val="22"/>
          <w:szCs w:val="22"/>
        </w:rPr>
      </w:pPr>
      <w:r>
        <w:rPr>
          <w:sz w:val="22"/>
          <w:szCs w:val="22"/>
        </w:rPr>
        <w:lastRenderedPageBreak/>
        <w:t xml:space="preserve">Expenditure and Funding Analysis </w:t>
      </w:r>
    </w:p>
    <w:p w14:paraId="33282451" w14:textId="77777777" w:rsidR="00AF51F1" w:rsidRDefault="00711D3C">
      <w:pPr>
        <w:pStyle w:val="09-Bodytext"/>
      </w:pPr>
      <w:r>
        <w:t xml:space="preserve">The Expenditure and Funding Analysis shows the expenditure and income figures reported to Lanarkshire Valuation Joint Board and, through a single </w:t>
      </w:r>
      <w:proofErr w:type="gramStart"/>
      <w:r>
        <w:t>adjustments</w:t>
      </w:r>
      <w:proofErr w:type="gramEnd"/>
      <w:r>
        <w:t xml:space="preserve"> column, reconciles it to the accounting figures presented in the Comprehensive Income and Expenditure Statement.</w:t>
      </w:r>
    </w:p>
    <w:p w14:paraId="26060E6B" w14:textId="77777777" w:rsidR="00AF51F1" w:rsidRDefault="00AF51F1">
      <w:pPr>
        <w:jc w:val="both"/>
        <w:rPr>
          <w:rFonts w:cs="Arial"/>
          <w:sz w:val="22"/>
          <w:szCs w:val="22"/>
          <w:shd w:val="clear" w:color="auto" w:fill="FFFF00"/>
        </w:rPr>
      </w:pPr>
    </w:p>
    <w:p w14:paraId="5163F44A" w14:textId="77777777" w:rsidR="00AF51F1" w:rsidRDefault="00711D3C">
      <w:pPr>
        <w:pStyle w:val="09-Bodytext"/>
        <w:rPr>
          <w:b/>
          <w:bCs/>
        </w:rPr>
      </w:pPr>
      <w:r>
        <w:rPr>
          <w:b/>
          <w:bCs/>
        </w:rPr>
        <w:t>Expenditure and Funding Analysis 2021/2022</w:t>
      </w:r>
    </w:p>
    <w:p w14:paraId="029F976C" w14:textId="77777777" w:rsidR="00AF51F1" w:rsidRDefault="00AF51F1">
      <w:pPr>
        <w:pStyle w:val="09-Bodytext"/>
        <w:rPr>
          <w:shd w:val="clear" w:color="auto" w:fill="FFFF00"/>
        </w:rPr>
      </w:pPr>
    </w:p>
    <w:tbl>
      <w:tblPr>
        <w:tblW w:w="10490" w:type="dxa"/>
        <w:tblInd w:w="-714" w:type="dxa"/>
        <w:tblCellMar>
          <w:left w:w="10" w:type="dxa"/>
          <w:right w:w="10" w:type="dxa"/>
        </w:tblCellMar>
        <w:tblLook w:val="0000" w:firstRow="0" w:lastRow="0" w:firstColumn="0" w:lastColumn="0" w:noHBand="0" w:noVBand="0"/>
      </w:tblPr>
      <w:tblGrid>
        <w:gridCol w:w="1415"/>
        <w:gridCol w:w="1426"/>
        <w:gridCol w:w="1166"/>
        <w:gridCol w:w="2442"/>
        <w:gridCol w:w="1415"/>
        <w:gridCol w:w="1426"/>
        <w:gridCol w:w="1200"/>
      </w:tblGrid>
      <w:tr w:rsidR="00AF51F1" w14:paraId="14E6F1C6" w14:textId="77777777">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0CA39" w14:textId="77777777" w:rsidR="00AF51F1" w:rsidRDefault="00AF51F1">
            <w:pPr>
              <w:pStyle w:val="09-Bodytext"/>
              <w:rPr>
                <w:b/>
                <w:bCs/>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ACB32" w14:textId="77777777" w:rsidR="00AF51F1" w:rsidRDefault="00711D3C">
            <w:pPr>
              <w:pStyle w:val="09-Bodytext"/>
              <w:rPr>
                <w:b/>
                <w:bCs/>
              </w:rPr>
            </w:pPr>
            <w:r>
              <w:rPr>
                <w:b/>
                <w:bCs/>
              </w:rPr>
              <w:t>2020/2021</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20984" w14:textId="77777777" w:rsidR="00AF51F1" w:rsidRDefault="00AF51F1">
            <w:pPr>
              <w:pStyle w:val="09-Bodytext"/>
              <w:rPr>
                <w:b/>
                <w:bCs/>
              </w:rPr>
            </w:pPr>
          </w:p>
        </w:tc>
        <w:tc>
          <w:tcPr>
            <w:tcW w:w="2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3EA51" w14:textId="77777777" w:rsidR="00AF51F1" w:rsidRDefault="00AF51F1">
            <w:pPr>
              <w:pStyle w:val="09-Bodytext"/>
            </w:pP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0E556" w14:textId="77777777" w:rsidR="00AF51F1" w:rsidRDefault="00AF51F1">
            <w:pPr>
              <w:pStyle w:val="09-Bodytext"/>
              <w:rPr>
                <w:b/>
                <w:bCs/>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B1220" w14:textId="77777777" w:rsidR="00AF51F1" w:rsidRDefault="00711D3C">
            <w:pPr>
              <w:pStyle w:val="09-Bodytext"/>
              <w:rPr>
                <w:b/>
                <w:bCs/>
              </w:rPr>
            </w:pPr>
            <w:r>
              <w:rPr>
                <w:b/>
                <w:bCs/>
              </w:rPr>
              <w:t>2021/2022</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30F18" w14:textId="77777777" w:rsidR="00AF51F1" w:rsidRDefault="00AF51F1">
            <w:pPr>
              <w:pStyle w:val="09-Bodytext"/>
              <w:rPr>
                <w:b/>
                <w:bCs/>
              </w:rPr>
            </w:pPr>
          </w:p>
        </w:tc>
      </w:tr>
      <w:tr w:rsidR="00AF51F1" w14:paraId="3429C594" w14:textId="77777777">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FB8A" w14:textId="77777777" w:rsidR="00AF51F1" w:rsidRDefault="00711D3C">
            <w:pPr>
              <w:pStyle w:val="09-Bodytext"/>
              <w:rPr>
                <w:b/>
                <w:bCs/>
              </w:rPr>
            </w:pPr>
            <w:r>
              <w:rPr>
                <w:b/>
                <w:bCs/>
              </w:rPr>
              <w:t>Net Exp. Chargeable to GF</w:t>
            </w:r>
          </w:p>
          <w:p w14:paraId="7E1FC953" w14:textId="77777777" w:rsidR="00AF51F1" w:rsidRDefault="00AF51F1">
            <w:pPr>
              <w:pStyle w:val="09-Bodytext"/>
              <w:rPr>
                <w:b/>
                <w:bCs/>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B8072" w14:textId="77777777" w:rsidR="00AF51F1" w:rsidRDefault="00711D3C">
            <w:pPr>
              <w:pStyle w:val="09-Bodytext"/>
              <w:rPr>
                <w:b/>
                <w:bCs/>
              </w:rPr>
            </w:pPr>
            <w:r>
              <w:rPr>
                <w:b/>
                <w:bCs/>
              </w:rPr>
              <w:t>Adjustment between Funding and Accounting Basis</w:t>
            </w:r>
          </w:p>
          <w:p w14:paraId="30FB62AB" w14:textId="77777777" w:rsidR="00AF51F1" w:rsidRDefault="00711D3C">
            <w:pPr>
              <w:pStyle w:val="09-Bodytext"/>
              <w:rPr>
                <w:b/>
                <w:bCs/>
              </w:rPr>
            </w:pPr>
            <w:r>
              <w:rPr>
                <w:b/>
                <w:bCs/>
              </w:rPr>
              <w:t>(</w:t>
            </w:r>
            <w:proofErr w:type="gramStart"/>
            <w:r>
              <w:rPr>
                <w:b/>
                <w:bCs/>
              </w:rPr>
              <w:t>note</w:t>
            </w:r>
            <w:proofErr w:type="gramEnd"/>
            <w:r>
              <w:rPr>
                <w:b/>
                <w:bCs/>
              </w:rPr>
              <w:t xml:space="preserve"> 5)</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4F803" w14:textId="77777777" w:rsidR="00AF51F1" w:rsidRDefault="00711D3C">
            <w:pPr>
              <w:pStyle w:val="09-Bodytext"/>
              <w:rPr>
                <w:b/>
                <w:bCs/>
              </w:rPr>
            </w:pPr>
            <w:r>
              <w:rPr>
                <w:b/>
                <w:bCs/>
              </w:rPr>
              <w:t>Net Exp. in CIES</w:t>
            </w:r>
          </w:p>
          <w:p w14:paraId="54AB6647" w14:textId="77777777" w:rsidR="00AF51F1" w:rsidRDefault="00AF51F1">
            <w:pPr>
              <w:pStyle w:val="09-Bodytext"/>
              <w:rPr>
                <w:b/>
                <w:bCs/>
              </w:rPr>
            </w:pPr>
          </w:p>
          <w:p w14:paraId="4E7F8DCE" w14:textId="77777777" w:rsidR="00AF51F1" w:rsidRDefault="00AF51F1">
            <w:pPr>
              <w:pStyle w:val="09-Bodytext"/>
              <w:rPr>
                <w:b/>
                <w:bCs/>
              </w:rPr>
            </w:pPr>
          </w:p>
          <w:p w14:paraId="0E6FF3C7" w14:textId="77777777" w:rsidR="00AF51F1" w:rsidRDefault="00AF51F1">
            <w:pPr>
              <w:pStyle w:val="09-Bodytext"/>
              <w:rPr>
                <w:b/>
                <w:bCs/>
              </w:rPr>
            </w:pPr>
          </w:p>
        </w:tc>
        <w:tc>
          <w:tcPr>
            <w:tcW w:w="2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7C7E5" w14:textId="77777777" w:rsidR="00AF51F1" w:rsidRDefault="00AF51F1">
            <w:pPr>
              <w:pStyle w:val="09-Bodytext"/>
            </w:pP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C9BA6" w14:textId="77777777" w:rsidR="00AF51F1" w:rsidRDefault="00711D3C">
            <w:pPr>
              <w:pStyle w:val="09-Bodytext"/>
              <w:rPr>
                <w:b/>
                <w:bCs/>
              </w:rPr>
            </w:pPr>
            <w:r>
              <w:rPr>
                <w:b/>
                <w:bCs/>
              </w:rPr>
              <w:t>Net Exp. Chargeable to GF</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BE1BB" w14:textId="77777777" w:rsidR="00AF51F1" w:rsidRDefault="00711D3C">
            <w:pPr>
              <w:pStyle w:val="09-Bodytext"/>
              <w:rPr>
                <w:b/>
                <w:bCs/>
              </w:rPr>
            </w:pPr>
            <w:r>
              <w:rPr>
                <w:b/>
                <w:bCs/>
              </w:rPr>
              <w:t>Adjustment between Funding and Accounting Basis</w:t>
            </w:r>
          </w:p>
          <w:p w14:paraId="71AFA623" w14:textId="77777777" w:rsidR="00AF51F1" w:rsidRDefault="00711D3C">
            <w:pPr>
              <w:pStyle w:val="09-Bodytext"/>
              <w:rPr>
                <w:b/>
                <w:bCs/>
              </w:rPr>
            </w:pPr>
            <w:r>
              <w:rPr>
                <w:b/>
                <w:bCs/>
              </w:rPr>
              <w:t>(</w:t>
            </w:r>
            <w:proofErr w:type="gramStart"/>
            <w:r>
              <w:rPr>
                <w:b/>
                <w:bCs/>
              </w:rPr>
              <w:t>note</w:t>
            </w:r>
            <w:proofErr w:type="gramEnd"/>
            <w:r>
              <w:rPr>
                <w:b/>
                <w:bCs/>
              </w:rPr>
              <w:t xml:space="preserve"> 5)</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5796F" w14:textId="77777777" w:rsidR="00AF51F1" w:rsidRDefault="00711D3C">
            <w:pPr>
              <w:pStyle w:val="09-Bodytext"/>
              <w:rPr>
                <w:b/>
                <w:bCs/>
              </w:rPr>
            </w:pPr>
            <w:r>
              <w:rPr>
                <w:b/>
                <w:bCs/>
              </w:rPr>
              <w:t>Net Exp. in CIES</w:t>
            </w:r>
          </w:p>
          <w:p w14:paraId="6D9086BD" w14:textId="77777777" w:rsidR="00AF51F1" w:rsidRDefault="00AF51F1">
            <w:pPr>
              <w:pStyle w:val="09-Bodytext"/>
              <w:rPr>
                <w:b/>
                <w:bCs/>
              </w:rPr>
            </w:pPr>
          </w:p>
          <w:p w14:paraId="5C8E04C2" w14:textId="77777777" w:rsidR="00AF51F1" w:rsidRDefault="00AF51F1">
            <w:pPr>
              <w:pStyle w:val="09-Bodytext"/>
              <w:rPr>
                <w:b/>
                <w:bCs/>
              </w:rPr>
            </w:pPr>
          </w:p>
          <w:p w14:paraId="4F59694E" w14:textId="77777777" w:rsidR="00AF51F1" w:rsidRDefault="00AF51F1">
            <w:pPr>
              <w:pStyle w:val="09-Bodytext"/>
              <w:rPr>
                <w:b/>
                <w:bCs/>
              </w:rPr>
            </w:pPr>
          </w:p>
        </w:tc>
      </w:tr>
      <w:tr w:rsidR="00AF51F1" w14:paraId="1962F86E" w14:textId="77777777">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D9C5A" w14:textId="77777777" w:rsidR="00AF51F1" w:rsidRDefault="00711D3C">
            <w:pPr>
              <w:pStyle w:val="09-Bodytext"/>
              <w:jc w:val="right"/>
              <w:rPr>
                <w:sz w:val="14"/>
                <w:szCs w:val="14"/>
              </w:rPr>
            </w:pPr>
            <w:r>
              <w:rPr>
                <w:sz w:val="14"/>
                <w:szCs w:val="14"/>
              </w:rPr>
              <w:t>Column 1</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3FD83" w14:textId="77777777" w:rsidR="00AF51F1" w:rsidRDefault="00711D3C">
            <w:pPr>
              <w:pStyle w:val="09-Bodytext"/>
              <w:jc w:val="right"/>
              <w:rPr>
                <w:sz w:val="14"/>
                <w:szCs w:val="14"/>
              </w:rPr>
            </w:pPr>
            <w:r>
              <w:rPr>
                <w:sz w:val="14"/>
                <w:szCs w:val="14"/>
              </w:rPr>
              <w:t>Column 2</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17C1B" w14:textId="77777777" w:rsidR="00AF51F1" w:rsidRDefault="00711D3C">
            <w:pPr>
              <w:pStyle w:val="09-Bodytext"/>
              <w:jc w:val="right"/>
              <w:rPr>
                <w:sz w:val="14"/>
                <w:szCs w:val="14"/>
              </w:rPr>
            </w:pPr>
            <w:r>
              <w:rPr>
                <w:sz w:val="14"/>
                <w:szCs w:val="14"/>
              </w:rPr>
              <w:t>Column 3</w:t>
            </w:r>
          </w:p>
        </w:tc>
        <w:tc>
          <w:tcPr>
            <w:tcW w:w="2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2F8D7" w14:textId="77777777" w:rsidR="00AF51F1" w:rsidRDefault="00AF51F1">
            <w:pPr>
              <w:pStyle w:val="09-Bodytext"/>
              <w:rPr>
                <w:sz w:val="14"/>
                <w:szCs w:val="14"/>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1328F" w14:textId="77777777" w:rsidR="00AF51F1" w:rsidRDefault="00711D3C">
            <w:pPr>
              <w:pStyle w:val="09-Bodytext"/>
              <w:jc w:val="right"/>
              <w:rPr>
                <w:sz w:val="14"/>
                <w:szCs w:val="14"/>
              </w:rPr>
            </w:pPr>
            <w:r>
              <w:rPr>
                <w:sz w:val="14"/>
                <w:szCs w:val="14"/>
              </w:rPr>
              <w:t>Column 5</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D8BDD" w14:textId="77777777" w:rsidR="00AF51F1" w:rsidRDefault="00711D3C">
            <w:pPr>
              <w:pStyle w:val="09-Bodytext"/>
              <w:jc w:val="right"/>
              <w:rPr>
                <w:sz w:val="14"/>
                <w:szCs w:val="14"/>
              </w:rPr>
            </w:pPr>
            <w:r>
              <w:rPr>
                <w:sz w:val="14"/>
                <w:szCs w:val="14"/>
              </w:rPr>
              <w:t>Column 6</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B770C" w14:textId="77777777" w:rsidR="00AF51F1" w:rsidRDefault="00711D3C">
            <w:pPr>
              <w:pStyle w:val="09-Bodytext"/>
              <w:jc w:val="right"/>
              <w:rPr>
                <w:sz w:val="14"/>
                <w:szCs w:val="14"/>
              </w:rPr>
            </w:pPr>
            <w:r>
              <w:rPr>
                <w:sz w:val="14"/>
                <w:szCs w:val="14"/>
              </w:rPr>
              <w:t>Column 7</w:t>
            </w:r>
          </w:p>
        </w:tc>
      </w:tr>
      <w:tr w:rsidR="00AF51F1" w14:paraId="54F75C55" w14:textId="77777777">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14B30" w14:textId="77777777" w:rsidR="00AF51F1" w:rsidRDefault="00711D3C">
            <w:pPr>
              <w:pStyle w:val="09-Bodytext"/>
              <w:jc w:val="right"/>
              <w:rPr>
                <w:b/>
                <w:bCs/>
              </w:rPr>
            </w:pPr>
            <w:r>
              <w:rPr>
                <w:b/>
                <w:bCs/>
              </w:rPr>
              <w:t>£000</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E1EE4" w14:textId="77777777" w:rsidR="00AF51F1" w:rsidRDefault="00711D3C">
            <w:pPr>
              <w:pStyle w:val="09-Bodytext"/>
              <w:jc w:val="right"/>
              <w:rPr>
                <w:b/>
                <w:bCs/>
              </w:rPr>
            </w:pPr>
            <w:r>
              <w:rPr>
                <w:b/>
                <w:bCs/>
              </w:rPr>
              <w:t>£000</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40259" w14:textId="77777777" w:rsidR="00AF51F1" w:rsidRDefault="00711D3C">
            <w:pPr>
              <w:pStyle w:val="09-Bodytext"/>
              <w:jc w:val="right"/>
              <w:rPr>
                <w:b/>
                <w:bCs/>
              </w:rPr>
            </w:pPr>
            <w:r>
              <w:rPr>
                <w:b/>
                <w:bCs/>
              </w:rPr>
              <w:t>£000</w:t>
            </w:r>
          </w:p>
        </w:tc>
        <w:tc>
          <w:tcPr>
            <w:tcW w:w="2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ACAED" w14:textId="77777777" w:rsidR="00AF51F1" w:rsidRDefault="00AF51F1">
            <w:pPr>
              <w:pStyle w:val="09-Bodytext"/>
              <w:rPr>
                <w:b/>
                <w:bCs/>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7C197" w14:textId="77777777" w:rsidR="00AF51F1" w:rsidRDefault="00711D3C">
            <w:pPr>
              <w:pStyle w:val="09-Bodytext"/>
              <w:jc w:val="right"/>
              <w:rPr>
                <w:b/>
                <w:bCs/>
              </w:rPr>
            </w:pPr>
            <w:r>
              <w:rPr>
                <w:b/>
                <w:bCs/>
              </w:rPr>
              <w:t>£000</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A8004" w14:textId="77777777" w:rsidR="00AF51F1" w:rsidRDefault="00711D3C">
            <w:pPr>
              <w:pStyle w:val="09-Bodytext"/>
              <w:jc w:val="right"/>
              <w:rPr>
                <w:b/>
                <w:bCs/>
              </w:rPr>
            </w:pPr>
            <w:r>
              <w:rPr>
                <w:b/>
                <w:bCs/>
              </w:rPr>
              <w:t>£000</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E0235" w14:textId="77777777" w:rsidR="00AF51F1" w:rsidRDefault="00711D3C">
            <w:pPr>
              <w:pStyle w:val="09-Bodytext"/>
              <w:jc w:val="right"/>
              <w:rPr>
                <w:b/>
                <w:bCs/>
              </w:rPr>
            </w:pPr>
            <w:r>
              <w:rPr>
                <w:b/>
                <w:bCs/>
              </w:rPr>
              <w:t>£000</w:t>
            </w:r>
          </w:p>
        </w:tc>
      </w:tr>
      <w:tr w:rsidR="00AF51F1" w14:paraId="7A7E45BE" w14:textId="77777777">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E01BF" w14:textId="77777777" w:rsidR="00AF51F1" w:rsidRDefault="00711D3C">
            <w:pPr>
              <w:pStyle w:val="09-Bodytext"/>
              <w:jc w:val="right"/>
            </w:pPr>
            <w:r>
              <w:t>2,711</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5C033" w14:textId="77777777" w:rsidR="00AF51F1" w:rsidRDefault="00711D3C">
            <w:pPr>
              <w:pStyle w:val="09-Bodytext"/>
              <w:jc w:val="right"/>
            </w:pPr>
            <w:r>
              <w:t>400</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9B26C4" w14:textId="77777777" w:rsidR="00AF51F1" w:rsidRDefault="00711D3C">
            <w:pPr>
              <w:pStyle w:val="09-Bodytext"/>
              <w:jc w:val="right"/>
            </w:pPr>
            <w:r>
              <w:t>3,111</w:t>
            </w:r>
          </w:p>
        </w:tc>
        <w:tc>
          <w:tcPr>
            <w:tcW w:w="2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AF68E" w14:textId="77777777" w:rsidR="00AF51F1" w:rsidRDefault="00711D3C">
            <w:pPr>
              <w:pStyle w:val="09-Bodytext"/>
            </w:pPr>
            <w:r>
              <w:t>Employee Costs</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19F20" w14:textId="77777777" w:rsidR="00AF51F1" w:rsidRDefault="00711D3C">
            <w:pPr>
              <w:pStyle w:val="09-Bodytext"/>
              <w:jc w:val="right"/>
            </w:pPr>
            <w:r>
              <w:t>2,850</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233B7" w14:textId="77777777" w:rsidR="00AF51F1" w:rsidRDefault="00711D3C">
            <w:pPr>
              <w:pStyle w:val="09-Bodytext"/>
              <w:jc w:val="right"/>
            </w:pPr>
            <w:r>
              <w:t>670</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6C9F4" w14:textId="77777777" w:rsidR="00AF51F1" w:rsidRDefault="00711D3C">
            <w:pPr>
              <w:pStyle w:val="09-Bodytext"/>
              <w:jc w:val="right"/>
            </w:pPr>
            <w:r>
              <w:t>3,520</w:t>
            </w:r>
          </w:p>
        </w:tc>
      </w:tr>
      <w:tr w:rsidR="00AF51F1" w14:paraId="48A2BBBF" w14:textId="77777777">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67B64" w14:textId="77777777" w:rsidR="00AF51F1" w:rsidRDefault="00711D3C">
            <w:pPr>
              <w:pStyle w:val="09-Bodytext"/>
              <w:jc w:val="right"/>
            </w:pPr>
            <w:r>
              <w:t>381</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87E6C" w14:textId="77777777" w:rsidR="00AF51F1" w:rsidRDefault="00AF51F1">
            <w:pPr>
              <w:pStyle w:val="09-Bodytext"/>
              <w:jc w:val="right"/>
            </w:pP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6DFEE" w14:textId="77777777" w:rsidR="00AF51F1" w:rsidRDefault="00711D3C">
            <w:pPr>
              <w:pStyle w:val="09-Bodytext"/>
              <w:jc w:val="right"/>
            </w:pPr>
            <w:r>
              <w:t>381</w:t>
            </w:r>
          </w:p>
        </w:tc>
        <w:tc>
          <w:tcPr>
            <w:tcW w:w="2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9A07A" w14:textId="77777777" w:rsidR="00AF51F1" w:rsidRDefault="00711D3C">
            <w:pPr>
              <w:pStyle w:val="09-Bodytext"/>
            </w:pPr>
            <w:r>
              <w:t>Property Costs</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E3B45" w14:textId="77777777" w:rsidR="00AF51F1" w:rsidRDefault="00711D3C">
            <w:pPr>
              <w:pStyle w:val="09-Bodytext"/>
              <w:jc w:val="right"/>
            </w:pPr>
            <w:r>
              <w:t>201</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47C78" w14:textId="77777777" w:rsidR="00AF51F1" w:rsidRDefault="00AF51F1">
            <w:pPr>
              <w:pStyle w:val="09-Bodytext"/>
              <w:jc w:val="right"/>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7B620" w14:textId="77777777" w:rsidR="00AF51F1" w:rsidRDefault="00711D3C">
            <w:pPr>
              <w:pStyle w:val="09-Bodytext"/>
              <w:jc w:val="right"/>
            </w:pPr>
            <w:r>
              <w:t>201</w:t>
            </w:r>
          </w:p>
        </w:tc>
      </w:tr>
      <w:tr w:rsidR="00AF51F1" w14:paraId="0152A518" w14:textId="77777777">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96B3A" w14:textId="77777777" w:rsidR="00AF51F1" w:rsidRDefault="00711D3C">
            <w:pPr>
              <w:pStyle w:val="09-Bodytext"/>
              <w:jc w:val="right"/>
            </w:pPr>
            <w:r>
              <w:t>122</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34591" w14:textId="77777777" w:rsidR="00AF51F1" w:rsidRDefault="00AF51F1">
            <w:pPr>
              <w:pStyle w:val="09-Bodytext"/>
              <w:jc w:val="right"/>
            </w:pP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0C00A" w14:textId="77777777" w:rsidR="00AF51F1" w:rsidRDefault="00711D3C">
            <w:pPr>
              <w:pStyle w:val="09-Bodytext"/>
              <w:jc w:val="right"/>
            </w:pPr>
            <w:r>
              <w:t>122</w:t>
            </w:r>
          </w:p>
        </w:tc>
        <w:tc>
          <w:tcPr>
            <w:tcW w:w="2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41CD9" w14:textId="77777777" w:rsidR="00AF51F1" w:rsidRDefault="00711D3C">
            <w:pPr>
              <w:pStyle w:val="09-Bodytext"/>
            </w:pPr>
            <w:r>
              <w:t>Supplies and Services</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362D0" w14:textId="77777777" w:rsidR="00AF51F1" w:rsidRDefault="00711D3C">
            <w:pPr>
              <w:pStyle w:val="09-Bodytext"/>
              <w:jc w:val="right"/>
            </w:pPr>
            <w:r>
              <w:t>147</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27EF5" w14:textId="77777777" w:rsidR="00AF51F1" w:rsidRDefault="00AF51F1">
            <w:pPr>
              <w:pStyle w:val="09-Bodytext"/>
              <w:jc w:val="right"/>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D5C17" w14:textId="77777777" w:rsidR="00AF51F1" w:rsidRDefault="00711D3C">
            <w:pPr>
              <w:pStyle w:val="09-Bodytext"/>
              <w:jc w:val="right"/>
            </w:pPr>
            <w:r>
              <w:t>147</w:t>
            </w:r>
          </w:p>
        </w:tc>
      </w:tr>
      <w:tr w:rsidR="00AF51F1" w14:paraId="1F0DD136" w14:textId="77777777">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428D0" w14:textId="77777777" w:rsidR="00AF51F1" w:rsidRDefault="00711D3C">
            <w:pPr>
              <w:pStyle w:val="09-Bodytext"/>
              <w:jc w:val="right"/>
            </w:pPr>
            <w:r>
              <w:t>0</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E9C05" w14:textId="77777777" w:rsidR="00AF51F1" w:rsidRDefault="00AF51F1">
            <w:pPr>
              <w:pStyle w:val="09-Bodytext"/>
              <w:jc w:val="right"/>
            </w:pP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40C55" w14:textId="77777777" w:rsidR="00AF51F1" w:rsidRDefault="00711D3C">
            <w:pPr>
              <w:pStyle w:val="09-Bodytext"/>
              <w:jc w:val="right"/>
            </w:pPr>
            <w:r>
              <w:t>0</w:t>
            </w:r>
          </w:p>
        </w:tc>
        <w:tc>
          <w:tcPr>
            <w:tcW w:w="2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A12A4" w14:textId="77777777" w:rsidR="00AF51F1" w:rsidRDefault="00711D3C">
            <w:pPr>
              <w:pStyle w:val="09-Bodytext"/>
            </w:pPr>
            <w:r>
              <w:t>Transport and Plant</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9E2E4" w14:textId="77777777" w:rsidR="00AF51F1" w:rsidRDefault="00711D3C">
            <w:pPr>
              <w:pStyle w:val="09-Bodytext"/>
              <w:jc w:val="right"/>
            </w:pPr>
            <w:r>
              <w:t>0</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1F8FA" w14:textId="77777777" w:rsidR="00AF51F1" w:rsidRDefault="00AF51F1">
            <w:pPr>
              <w:pStyle w:val="09-Bodytext"/>
              <w:jc w:val="right"/>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978D8" w14:textId="77777777" w:rsidR="00AF51F1" w:rsidRDefault="00711D3C">
            <w:pPr>
              <w:pStyle w:val="09-Bodytext"/>
              <w:jc w:val="right"/>
            </w:pPr>
            <w:r>
              <w:t>0</w:t>
            </w:r>
          </w:p>
        </w:tc>
      </w:tr>
      <w:tr w:rsidR="00AF51F1" w14:paraId="74FBE07A" w14:textId="77777777">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FB6D1" w14:textId="77777777" w:rsidR="00AF51F1" w:rsidRDefault="00711D3C">
            <w:pPr>
              <w:pStyle w:val="09-Bodytext"/>
              <w:jc w:val="right"/>
            </w:pPr>
            <w:r>
              <w:t>848</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56498" w14:textId="77777777" w:rsidR="00AF51F1" w:rsidRDefault="00711D3C">
            <w:pPr>
              <w:pStyle w:val="09-Bodytext"/>
              <w:jc w:val="right"/>
            </w:pPr>
            <w:r>
              <w:t>16</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0C7A7" w14:textId="77777777" w:rsidR="00AF51F1" w:rsidRDefault="00711D3C">
            <w:pPr>
              <w:pStyle w:val="09-Bodytext"/>
              <w:jc w:val="right"/>
            </w:pPr>
            <w:r>
              <w:t>864</w:t>
            </w:r>
          </w:p>
        </w:tc>
        <w:tc>
          <w:tcPr>
            <w:tcW w:w="2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8207D" w14:textId="77777777" w:rsidR="00AF51F1" w:rsidRDefault="00711D3C">
            <w:pPr>
              <w:pStyle w:val="09-Bodytext"/>
            </w:pPr>
            <w:r>
              <w:t>Administration Costs</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35EE9" w14:textId="77777777" w:rsidR="00AF51F1" w:rsidRDefault="00711D3C">
            <w:pPr>
              <w:pStyle w:val="09-Bodytext"/>
              <w:jc w:val="right"/>
            </w:pPr>
            <w:r>
              <w:t>773</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CE217" w14:textId="77777777" w:rsidR="00AF51F1" w:rsidRDefault="00711D3C">
            <w:pPr>
              <w:pStyle w:val="09-Bodytext"/>
              <w:jc w:val="right"/>
            </w:pPr>
            <w:r>
              <w:t>(27)</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A7735" w14:textId="77777777" w:rsidR="00AF51F1" w:rsidRDefault="00711D3C">
            <w:pPr>
              <w:pStyle w:val="09-Bodytext"/>
              <w:jc w:val="right"/>
            </w:pPr>
            <w:r>
              <w:t>746</w:t>
            </w:r>
          </w:p>
        </w:tc>
      </w:tr>
      <w:tr w:rsidR="00AF51F1" w14:paraId="4339AD7D" w14:textId="77777777">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F9950" w14:textId="77777777" w:rsidR="00AF51F1" w:rsidRDefault="00711D3C">
            <w:pPr>
              <w:pStyle w:val="09-Bodytext"/>
              <w:jc w:val="right"/>
            </w:pPr>
            <w:r>
              <w:t>28</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97FB0" w14:textId="77777777" w:rsidR="00AF51F1" w:rsidRDefault="00AF51F1">
            <w:pPr>
              <w:pStyle w:val="09-Bodytext"/>
              <w:jc w:val="right"/>
            </w:pP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42C86" w14:textId="77777777" w:rsidR="00AF51F1" w:rsidRDefault="00711D3C">
            <w:pPr>
              <w:pStyle w:val="09-Bodytext"/>
              <w:jc w:val="right"/>
            </w:pPr>
            <w:r>
              <w:t>28</w:t>
            </w:r>
          </w:p>
        </w:tc>
        <w:tc>
          <w:tcPr>
            <w:tcW w:w="2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CE340" w14:textId="77777777" w:rsidR="00AF51F1" w:rsidRDefault="00711D3C">
            <w:pPr>
              <w:pStyle w:val="09-Bodytext"/>
            </w:pPr>
            <w:r>
              <w:t>Payments to Other Bodies</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6EE88" w14:textId="77777777" w:rsidR="00AF51F1" w:rsidRDefault="00711D3C">
            <w:pPr>
              <w:pStyle w:val="09-Bodytext"/>
              <w:jc w:val="right"/>
            </w:pPr>
            <w:r>
              <w:t>28</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9C0E8" w14:textId="77777777" w:rsidR="00AF51F1" w:rsidRDefault="00AF51F1">
            <w:pPr>
              <w:pStyle w:val="09-Bodytext"/>
              <w:jc w:val="right"/>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5488" w14:textId="77777777" w:rsidR="00AF51F1" w:rsidRDefault="00711D3C">
            <w:pPr>
              <w:pStyle w:val="09-Bodytext"/>
              <w:jc w:val="right"/>
            </w:pPr>
            <w:r>
              <w:t>28</w:t>
            </w:r>
          </w:p>
        </w:tc>
      </w:tr>
      <w:tr w:rsidR="00AF51F1" w14:paraId="7E9F74F5" w14:textId="77777777">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16436" w14:textId="77777777" w:rsidR="00AF51F1" w:rsidRDefault="00711D3C">
            <w:pPr>
              <w:pStyle w:val="09-Bodytext"/>
              <w:jc w:val="right"/>
            </w:pPr>
            <w:r>
              <w:t>202</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E3041" w14:textId="77777777" w:rsidR="00AF51F1" w:rsidRDefault="00711D3C">
            <w:pPr>
              <w:pStyle w:val="09-Bodytext"/>
              <w:jc w:val="right"/>
            </w:pPr>
            <w:r>
              <w:t>(175)</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DEFC6" w14:textId="77777777" w:rsidR="00AF51F1" w:rsidRDefault="00711D3C">
            <w:pPr>
              <w:pStyle w:val="09-Bodytext"/>
              <w:jc w:val="right"/>
            </w:pPr>
            <w:r>
              <w:t>27</w:t>
            </w:r>
          </w:p>
        </w:tc>
        <w:tc>
          <w:tcPr>
            <w:tcW w:w="2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467AF" w14:textId="77777777" w:rsidR="00AF51F1" w:rsidRDefault="00711D3C">
            <w:pPr>
              <w:pStyle w:val="09-Bodytext"/>
            </w:pPr>
            <w:r>
              <w:t>Financing Charges</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A5580" w14:textId="77777777" w:rsidR="00AF51F1" w:rsidRDefault="00711D3C">
            <w:pPr>
              <w:pStyle w:val="09-Bodytext"/>
              <w:jc w:val="right"/>
            </w:pPr>
            <w:r>
              <w:t>35</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F00CB" w14:textId="77777777" w:rsidR="00AF51F1" w:rsidRDefault="00711D3C">
            <w:pPr>
              <w:pStyle w:val="09-Bodytext"/>
              <w:jc w:val="right"/>
            </w:pPr>
            <w:r>
              <w:t>21</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E37CC" w14:textId="77777777" w:rsidR="00AF51F1" w:rsidRDefault="00711D3C">
            <w:pPr>
              <w:pStyle w:val="09-Bodytext"/>
              <w:jc w:val="right"/>
            </w:pPr>
            <w:r>
              <w:t>56</w:t>
            </w:r>
          </w:p>
        </w:tc>
      </w:tr>
      <w:tr w:rsidR="00AF51F1" w14:paraId="10DF77CE" w14:textId="77777777">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6D1C4" w14:textId="77777777" w:rsidR="00AF51F1" w:rsidRDefault="00711D3C">
            <w:pPr>
              <w:pStyle w:val="09-Bodytext"/>
              <w:jc w:val="right"/>
              <w:rPr>
                <w:b/>
                <w:bCs/>
              </w:rPr>
            </w:pPr>
            <w:r>
              <w:rPr>
                <w:b/>
                <w:bCs/>
              </w:rPr>
              <w:t>4,292</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A224D" w14:textId="77777777" w:rsidR="00AF51F1" w:rsidRDefault="00711D3C">
            <w:pPr>
              <w:pStyle w:val="09-Bodytext"/>
              <w:jc w:val="right"/>
              <w:rPr>
                <w:b/>
                <w:bCs/>
              </w:rPr>
            </w:pPr>
            <w:r>
              <w:rPr>
                <w:b/>
                <w:bCs/>
              </w:rPr>
              <w:t>241</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28C21" w14:textId="77777777" w:rsidR="00AF51F1" w:rsidRDefault="00711D3C">
            <w:pPr>
              <w:pStyle w:val="09-Bodytext"/>
              <w:jc w:val="right"/>
              <w:rPr>
                <w:b/>
                <w:bCs/>
              </w:rPr>
            </w:pPr>
            <w:r>
              <w:rPr>
                <w:b/>
                <w:bCs/>
              </w:rPr>
              <w:t>4,533</w:t>
            </w:r>
          </w:p>
        </w:tc>
        <w:tc>
          <w:tcPr>
            <w:tcW w:w="2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6DBFB" w14:textId="77777777" w:rsidR="00AF51F1" w:rsidRDefault="00711D3C">
            <w:pPr>
              <w:pStyle w:val="09-Bodytext"/>
              <w:rPr>
                <w:b/>
                <w:bCs/>
              </w:rPr>
            </w:pPr>
            <w:r>
              <w:rPr>
                <w:b/>
                <w:bCs/>
              </w:rPr>
              <w:t>Total Expenditure</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1E7C1" w14:textId="77777777" w:rsidR="00AF51F1" w:rsidRDefault="00711D3C">
            <w:pPr>
              <w:pStyle w:val="09-Bodytext"/>
              <w:jc w:val="right"/>
              <w:rPr>
                <w:b/>
                <w:bCs/>
              </w:rPr>
            </w:pPr>
            <w:r>
              <w:rPr>
                <w:b/>
                <w:bCs/>
              </w:rPr>
              <w:t>4,034</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9A1A" w14:textId="77777777" w:rsidR="00AF51F1" w:rsidRDefault="00711D3C">
            <w:pPr>
              <w:pStyle w:val="09-Bodytext"/>
              <w:jc w:val="right"/>
              <w:rPr>
                <w:b/>
                <w:bCs/>
              </w:rPr>
            </w:pPr>
            <w:r>
              <w:rPr>
                <w:b/>
                <w:bCs/>
              </w:rPr>
              <w:t>664</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6899C1" w14:textId="77777777" w:rsidR="00AF51F1" w:rsidRDefault="00711D3C">
            <w:pPr>
              <w:pStyle w:val="09-Bodytext"/>
              <w:jc w:val="right"/>
              <w:rPr>
                <w:b/>
                <w:bCs/>
              </w:rPr>
            </w:pPr>
            <w:r>
              <w:rPr>
                <w:b/>
                <w:bCs/>
              </w:rPr>
              <w:t>4,698</w:t>
            </w:r>
          </w:p>
        </w:tc>
      </w:tr>
      <w:tr w:rsidR="00AF51F1" w14:paraId="546B4769" w14:textId="77777777">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3C285" w14:textId="77777777" w:rsidR="00AF51F1" w:rsidRDefault="00711D3C">
            <w:pPr>
              <w:pStyle w:val="09-Bodytext"/>
              <w:jc w:val="right"/>
            </w:pPr>
            <w:r>
              <w:t>(4,472)</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A5A5B" w14:textId="77777777" w:rsidR="00AF51F1" w:rsidRDefault="00711D3C">
            <w:pPr>
              <w:pStyle w:val="09-Bodytext"/>
              <w:jc w:val="right"/>
            </w:pPr>
            <w:r>
              <w:t>-</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9406F" w14:textId="77777777" w:rsidR="00AF51F1" w:rsidRDefault="00711D3C">
            <w:pPr>
              <w:pStyle w:val="09-Bodytext"/>
              <w:jc w:val="right"/>
            </w:pPr>
            <w:r>
              <w:t>(4,472)</w:t>
            </w:r>
          </w:p>
        </w:tc>
        <w:tc>
          <w:tcPr>
            <w:tcW w:w="2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9A109" w14:textId="77777777" w:rsidR="00AF51F1" w:rsidRDefault="00711D3C">
            <w:pPr>
              <w:pStyle w:val="09-Bodytext"/>
            </w:pPr>
            <w:r>
              <w:t>Income</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3D7BF" w14:textId="77777777" w:rsidR="00AF51F1" w:rsidRDefault="00711D3C">
            <w:pPr>
              <w:pStyle w:val="09-Bodytext"/>
              <w:jc w:val="right"/>
            </w:pPr>
            <w:r>
              <w:t>(4,386)</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88F6F" w14:textId="77777777" w:rsidR="00AF51F1" w:rsidRDefault="00711D3C">
            <w:pPr>
              <w:pStyle w:val="09-Bodytext"/>
              <w:jc w:val="right"/>
            </w:pPr>
            <w: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34F05" w14:textId="77777777" w:rsidR="00AF51F1" w:rsidRDefault="00711D3C">
            <w:pPr>
              <w:pStyle w:val="09-Bodytext"/>
              <w:jc w:val="right"/>
            </w:pPr>
            <w:r>
              <w:t>(4,386)</w:t>
            </w:r>
          </w:p>
        </w:tc>
      </w:tr>
      <w:tr w:rsidR="00AF51F1" w14:paraId="6681346F" w14:textId="77777777">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F63C2" w14:textId="77777777" w:rsidR="00AF51F1" w:rsidRDefault="00711D3C">
            <w:pPr>
              <w:pStyle w:val="09-Bodytext"/>
              <w:jc w:val="right"/>
              <w:rPr>
                <w:b/>
                <w:bCs/>
              </w:rPr>
            </w:pPr>
            <w:r>
              <w:rPr>
                <w:b/>
                <w:bCs/>
              </w:rPr>
              <w:t>(180)</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2D06F" w14:textId="77777777" w:rsidR="00AF51F1" w:rsidRDefault="00711D3C">
            <w:pPr>
              <w:pStyle w:val="09-Bodytext"/>
              <w:jc w:val="right"/>
              <w:rPr>
                <w:b/>
                <w:bCs/>
              </w:rPr>
            </w:pPr>
            <w:r>
              <w:rPr>
                <w:b/>
                <w:bCs/>
              </w:rPr>
              <w:t>241</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30CAF" w14:textId="77777777" w:rsidR="00AF51F1" w:rsidRDefault="00711D3C">
            <w:pPr>
              <w:pStyle w:val="09-Bodytext"/>
              <w:jc w:val="right"/>
              <w:rPr>
                <w:b/>
                <w:bCs/>
              </w:rPr>
            </w:pPr>
            <w:r>
              <w:rPr>
                <w:b/>
                <w:bCs/>
              </w:rPr>
              <w:t>61</w:t>
            </w:r>
          </w:p>
        </w:tc>
        <w:tc>
          <w:tcPr>
            <w:tcW w:w="2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A9807" w14:textId="77777777" w:rsidR="00AF51F1" w:rsidRDefault="00711D3C">
            <w:pPr>
              <w:pStyle w:val="09-Bodytext"/>
              <w:rPr>
                <w:b/>
                <w:bCs/>
              </w:rPr>
            </w:pPr>
            <w:r>
              <w:rPr>
                <w:b/>
                <w:bCs/>
              </w:rPr>
              <w:t>Net Cost of Services</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70129" w14:textId="77777777" w:rsidR="00AF51F1" w:rsidRDefault="00711D3C">
            <w:pPr>
              <w:pStyle w:val="09-Bodytext"/>
              <w:jc w:val="right"/>
              <w:rPr>
                <w:b/>
                <w:bCs/>
              </w:rPr>
            </w:pPr>
            <w:r>
              <w:rPr>
                <w:b/>
                <w:bCs/>
              </w:rPr>
              <w:t>(352)</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459B6" w14:textId="77777777" w:rsidR="00AF51F1" w:rsidRDefault="00711D3C">
            <w:pPr>
              <w:pStyle w:val="09-Bodytext"/>
              <w:jc w:val="right"/>
              <w:rPr>
                <w:b/>
                <w:bCs/>
              </w:rPr>
            </w:pPr>
            <w:r>
              <w:rPr>
                <w:b/>
                <w:bCs/>
              </w:rPr>
              <w:t>664</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27077" w14:textId="77777777" w:rsidR="00AF51F1" w:rsidRDefault="00711D3C">
            <w:pPr>
              <w:pStyle w:val="09-Bodytext"/>
              <w:jc w:val="right"/>
              <w:rPr>
                <w:b/>
                <w:bCs/>
              </w:rPr>
            </w:pPr>
            <w:r>
              <w:rPr>
                <w:b/>
                <w:bCs/>
              </w:rPr>
              <w:t>312</w:t>
            </w:r>
          </w:p>
        </w:tc>
      </w:tr>
      <w:tr w:rsidR="00AF51F1" w14:paraId="3060FBFC" w14:textId="77777777">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570CD" w14:textId="77777777" w:rsidR="00AF51F1" w:rsidRDefault="00711D3C">
            <w:pPr>
              <w:pStyle w:val="09-Bodytext"/>
              <w:jc w:val="right"/>
            </w:pPr>
            <w:r>
              <w:t>0</w:t>
            </w:r>
          </w:p>
          <w:p w14:paraId="02852039" w14:textId="77777777" w:rsidR="00AF51F1" w:rsidRDefault="00AF51F1">
            <w:pPr>
              <w:pStyle w:val="09-Bodytext"/>
              <w:jc w:val="right"/>
            </w:pP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1E394" w14:textId="77777777" w:rsidR="00AF51F1" w:rsidRDefault="00711D3C">
            <w:pPr>
              <w:pStyle w:val="09-Bodytext"/>
              <w:jc w:val="right"/>
            </w:pPr>
            <w:r>
              <w:t>30</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47970" w14:textId="77777777" w:rsidR="00AF51F1" w:rsidRDefault="00711D3C">
            <w:pPr>
              <w:pStyle w:val="09-Bodytext"/>
              <w:jc w:val="right"/>
            </w:pPr>
            <w:r>
              <w:t>30</w:t>
            </w:r>
          </w:p>
        </w:tc>
        <w:tc>
          <w:tcPr>
            <w:tcW w:w="2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E391E9" w14:textId="77777777" w:rsidR="00AF51F1" w:rsidRDefault="00711D3C">
            <w:pPr>
              <w:pStyle w:val="09-Bodytext"/>
            </w:pPr>
            <w:r>
              <w:t>Financing and Investment Income and Expenditure</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15169" w14:textId="77777777" w:rsidR="00AF51F1" w:rsidRDefault="00711D3C">
            <w:pPr>
              <w:pStyle w:val="09-Bodytext"/>
              <w:jc w:val="right"/>
            </w:pPr>
            <w:r>
              <w:t>0</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D2B13" w14:textId="77777777" w:rsidR="00AF51F1" w:rsidRDefault="00711D3C">
            <w:pPr>
              <w:pStyle w:val="09-Bodytext"/>
              <w:jc w:val="right"/>
            </w:pPr>
            <w:r>
              <w:t>51</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A2A2F" w14:textId="77777777" w:rsidR="00AF51F1" w:rsidRDefault="00711D3C">
            <w:pPr>
              <w:pStyle w:val="09-Bodytext"/>
              <w:jc w:val="right"/>
            </w:pPr>
            <w:r>
              <w:t>51</w:t>
            </w:r>
          </w:p>
        </w:tc>
      </w:tr>
      <w:tr w:rsidR="00AF51F1" w14:paraId="2D31B2D4" w14:textId="77777777">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FB1CA" w14:textId="77777777" w:rsidR="00AF51F1" w:rsidRDefault="00711D3C">
            <w:pPr>
              <w:pStyle w:val="09-Bodytext"/>
              <w:jc w:val="right"/>
              <w:rPr>
                <w:b/>
                <w:bCs/>
              </w:rPr>
            </w:pPr>
            <w:r>
              <w:rPr>
                <w:b/>
                <w:bCs/>
              </w:rPr>
              <w:t>(180)</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4518C" w14:textId="77777777" w:rsidR="00AF51F1" w:rsidRDefault="00711D3C">
            <w:pPr>
              <w:pStyle w:val="09-Bodytext"/>
              <w:jc w:val="right"/>
              <w:rPr>
                <w:b/>
                <w:bCs/>
              </w:rPr>
            </w:pPr>
            <w:r>
              <w:rPr>
                <w:b/>
                <w:bCs/>
              </w:rPr>
              <w:t>271</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9466C" w14:textId="77777777" w:rsidR="00AF51F1" w:rsidRDefault="00711D3C">
            <w:pPr>
              <w:pStyle w:val="09-Bodytext"/>
              <w:jc w:val="right"/>
              <w:rPr>
                <w:b/>
                <w:bCs/>
              </w:rPr>
            </w:pPr>
            <w:r>
              <w:rPr>
                <w:b/>
                <w:bCs/>
              </w:rPr>
              <w:t>91</w:t>
            </w:r>
          </w:p>
        </w:tc>
        <w:tc>
          <w:tcPr>
            <w:tcW w:w="2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F598E" w14:textId="77777777" w:rsidR="00AF51F1" w:rsidRDefault="00711D3C">
            <w:pPr>
              <w:pStyle w:val="09-Bodytext"/>
              <w:rPr>
                <w:b/>
                <w:bCs/>
              </w:rPr>
            </w:pPr>
            <w:r>
              <w:rPr>
                <w:b/>
                <w:bCs/>
              </w:rPr>
              <w:t>(Surplus) or Deficit</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B5887" w14:textId="77777777" w:rsidR="00AF51F1" w:rsidRDefault="00711D3C">
            <w:pPr>
              <w:pStyle w:val="09-Bodytext"/>
              <w:jc w:val="right"/>
              <w:rPr>
                <w:b/>
                <w:bCs/>
              </w:rPr>
            </w:pPr>
            <w:r>
              <w:rPr>
                <w:b/>
                <w:bCs/>
              </w:rPr>
              <w:t>(352)</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018DF" w14:textId="77777777" w:rsidR="00AF51F1" w:rsidRDefault="00711D3C">
            <w:pPr>
              <w:pStyle w:val="09-Bodytext"/>
              <w:jc w:val="right"/>
              <w:rPr>
                <w:b/>
                <w:bCs/>
              </w:rPr>
            </w:pPr>
            <w:r>
              <w:rPr>
                <w:b/>
                <w:bCs/>
              </w:rPr>
              <w:t>715</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6F715" w14:textId="77777777" w:rsidR="00AF51F1" w:rsidRDefault="00711D3C">
            <w:pPr>
              <w:pStyle w:val="09-Bodytext"/>
              <w:jc w:val="right"/>
              <w:rPr>
                <w:b/>
                <w:bCs/>
              </w:rPr>
            </w:pPr>
            <w:r>
              <w:rPr>
                <w:b/>
                <w:bCs/>
              </w:rPr>
              <w:t>363</w:t>
            </w:r>
          </w:p>
        </w:tc>
      </w:tr>
    </w:tbl>
    <w:p w14:paraId="66A62C74" w14:textId="77777777" w:rsidR="00AF51F1" w:rsidRDefault="00AF51F1">
      <w:pPr>
        <w:pStyle w:val="09-Bodytext"/>
        <w:rPr>
          <w:shd w:val="clear" w:color="auto" w:fill="FFFF00"/>
        </w:rPr>
      </w:pPr>
    </w:p>
    <w:tbl>
      <w:tblPr>
        <w:tblW w:w="7654" w:type="dxa"/>
        <w:tblInd w:w="2122" w:type="dxa"/>
        <w:tblCellMar>
          <w:left w:w="10" w:type="dxa"/>
          <w:right w:w="10" w:type="dxa"/>
        </w:tblCellMar>
        <w:tblLook w:val="0000" w:firstRow="0" w:lastRow="0" w:firstColumn="0" w:lastColumn="0" w:noHBand="0" w:noVBand="0"/>
      </w:tblPr>
      <w:tblGrid>
        <w:gridCol w:w="1134"/>
        <w:gridCol w:w="5244"/>
        <w:gridCol w:w="1276"/>
      </w:tblGrid>
      <w:tr w:rsidR="00AF51F1" w14:paraId="16270DA5" w14:textId="77777777">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45C40" w14:textId="77777777" w:rsidR="00AF51F1" w:rsidRDefault="00711D3C">
            <w:pPr>
              <w:pStyle w:val="09-Bodytext"/>
              <w:jc w:val="right"/>
              <w:rPr>
                <w:b/>
                <w:bCs/>
              </w:rPr>
            </w:pPr>
            <w:r>
              <w:rPr>
                <w:b/>
                <w:bCs/>
              </w:rPr>
              <w:t>2020/21</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3AB44" w14:textId="77777777" w:rsidR="00AF51F1" w:rsidRDefault="00AF51F1">
            <w:pPr>
              <w:pStyle w:val="09-Bodytext"/>
              <w:rPr>
                <w:b/>
                <w:bC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E0308" w14:textId="77777777" w:rsidR="00AF51F1" w:rsidRDefault="00711D3C">
            <w:pPr>
              <w:pStyle w:val="09-Bodytext"/>
              <w:jc w:val="right"/>
              <w:rPr>
                <w:b/>
                <w:bCs/>
              </w:rPr>
            </w:pPr>
            <w:r>
              <w:rPr>
                <w:b/>
                <w:bCs/>
              </w:rPr>
              <w:t>2021/22</w:t>
            </w:r>
          </w:p>
        </w:tc>
      </w:tr>
      <w:tr w:rsidR="00AF51F1" w14:paraId="11B7E899" w14:textId="77777777">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32E35" w14:textId="77777777" w:rsidR="00AF51F1" w:rsidRDefault="00711D3C">
            <w:pPr>
              <w:pStyle w:val="09-Bodytext"/>
              <w:jc w:val="right"/>
              <w:rPr>
                <w:b/>
                <w:bCs/>
              </w:rPr>
            </w:pPr>
            <w:r>
              <w:rPr>
                <w:b/>
                <w:bCs/>
              </w:rPr>
              <w:t>General Fund</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09B17" w14:textId="77777777" w:rsidR="00AF51F1" w:rsidRDefault="00AF51F1">
            <w:pPr>
              <w:pStyle w:val="09-Bodytext"/>
              <w:rPr>
                <w:b/>
                <w:bC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ABAA9" w14:textId="77777777" w:rsidR="00AF51F1" w:rsidRDefault="00711D3C">
            <w:pPr>
              <w:pStyle w:val="09-Bodytext"/>
              <w:jc w:val="right"/>
              <w:rPr>
                <w:b/>
                <w:bCs/>
              </w:rPr>
            </w:pPr>
            <w:r>
              <w:rPr>
                <w:b/>
                <w:bCs/>
              </w:rPr>
              <w:t>General Fund</w:t>
            </w:r>
          </w:p>
        </w:tc>
      </w:tr>
      <w:tr w:rsidR="00AF51F1" w14:paraId="78E54691" w14:textId="77777777">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2EB28" w14:textId="77777777" w:rsidR="00AF51F1" w:rsidRDefault="00711D3C">
            <w:pPr>
              <w:pStyle w:val="09-Bodytext"/>
              <w:jc w:val="right"/>
              <w:rPr>
                <w:b/>
                <w:bCs/>
              </w:rPr>
            </w:pPr>
            <w:r>
              <w:rPr>
                <w:b/>
                <w:bCs/>
              </w:rPr>
              <w:t>£000</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43281" w14:textId="77777777" w:rsidR="00AF51F1" w:rsidRDefault="00AF51F1">
            <w:pPr>
              <w:pStyle w:val="09-Bodytext"/>
              <w:rPr>
                <w:b/>
                <w:bC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23197" w14:textId="77777777" w:rsidR="00AF51F1" w:rsidRDefault="00711D3C">
            <w:pPr>
              <w:pStyle w:val="09-Bodytext"/>
              <w:jc w:val="right"/>
              <w:rPr>
                <w:b/>
                <w:bCs/>
              </w:rPr>
            </w:pPr>
            <w:r>
              <w:rPr>
                <w:b/>
                <w:bCs/>
              </w:rPr>
              <w:t>£000</w:t>
            </w:r>
          </w:p>
        </w:tc>
      </w:tr>
      <w:tr w:rsidR="00AF51F1" w14:paraId="1D764060" w14:textId="77777777">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12B47" w14:textId="77777777" w:rsidR="00AF51F1" w:rsidRDefault="00711D3C">
            <w:pPr>
              <w:pStyle w:val="09-Bodytext"/>
              <w:jc w:val="right"/>
            </w:pPr>
            <w:r>
              <w:t>(947)</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60D5A" w14:textId="77777777" w:rsidR="00AF51F1" w:rsidRDefault="00711D3C">
            <w:pPr>
              <w:pStyle w:val="09-Bodytext"/>
            </w:pPr>
            <w:r>
              <w:t>Opening General Fund Balance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ADEE9" w14:textId="77777777" w:rsidR="00AF51F1" w:rsidRDefault="00711D3C">
            <w:pPr>
              <w:pStyle w:val="09-Bodytext"/>
              <w:jc w:val="right"/>
            </w:pPr>
            <w:r>
              <w:t>(1,127)</w:t>
            </w:r>
          </w:p>
        </w:tc>
      </w:tr>
      <w:tr w:rsidR="00AF51F1" w14:paraId="7340548E" w14:textId="77777777">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07166" w14:textId="77777777" w:rsidR="00AF51F1" w:rsidRDefault="00711D3C">
            <w:pPr>
              <w:pStyle w:val="09-Bodytext"/>
              <w:jc w:val="right"/>
            </w:pPr>
            <w:r>
              <w:t>(180)</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B3DAF" w14:textId="77777777" w:rsidR="00AF51F1" w:rsidRDefault="00711D3C">
            <w:pPr>
              <w:pStyle w:val="09-Bodytext"/>
            </w:pPr>
            <w:r>
              <w:t>(Less)/plus (Surplus) or Deficit on General Fund (per column 1 and 5 of EFA)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A1E11" w14:textId="77777777" w:rsidR="00AF51F1" w:rsidRDefault="00711D3C">
            <w:pPr>
              <w:pStyle w:val="09-Bodytext"/>
              <w:jc w:val="right"/>
            </w:pPr>
            <w:r>
              <w:t>(352)</w:t>
            </w:r>
          </w:p>
        </w:tc>
      </w:tr>
      <w:tr w:rsidR="00AF51F1" w14:paraId="6C87E207" w14:textId="77777777">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8B863" w14:textId="77777777" w:rsidR="00AF51F1" w:rsidRDefault="00711D3C">
            <w:pPr>
              <w:pStyle w:val="09-Bodytext"/>
              <w:jc w:val="right"/>
            </w:pPr>
            <w:r>
              <w:t>-</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6578D" w14:textId="77777777" w:rsidR="00AF51F1" w:rsidRDefault="00711D3C">
            <w:pPr>
              <w:pStyle w:val="09-Bodytext"/>
            </w:pPr>
            <w:r>
              <w:t>Transfers To/From Reserves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98ECC" w14:textId="77777777" w:rsidR="00AF51F1" w:rsidRDefault="00711D3C">
            <w:pPr>
              <w:pStyle w:val="09-Bodytext"/>
              <w:jc w:val="right"/>
            </w:pPr>
            <w:r>
              <w:t>-</w:t>
            </w:r>
          </w:p>
        </w:tc>
      </w:tr>
      <w:tr w:rsidR="00AF51F1" w14:paraId="6C6047E4" w14:textId="77777777">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7100B" w14:textId="77777777" w:rsidR="00AF51F1" w:rsidRDefault="00711D3C">
            <w:pPr>
              <w:pStyle w:val="09-Bodytext"/>
              <w:jc w:val="right"/>
              <w:rPr>
                <w:b/>
                <w:bCs/>
              </w:rPr>
            </w:pPr>
            <w:r>
              <w:rPr>
                <w:b/>
                <w:bCs/>
              </w:rPr>
              <w:t>(1,127)</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F463F" w14:textId="77777777" w:rsidR="00AF51F1" w:rsidRDefault="00711D3C">
            <w:pPr>
              <w:pStyle w:val="09-Bodytext"/>
              <w:rPr>
                <w:b/>
                <w:bCs/>
              </w:rPr>
            </w:pPr>
            <w:r>
              <w:rPr>
                <w:b/>
                <w:bCs/>
              </w:rPr>
              <w:t>Closing General Fund Balance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6A6F8" w14:textId="77777777" w:rsidR="00AF51F1" w:rsidRDefault="00711D3C">
            <w:pPr>
              <w:pStyle w:val="09-Bodytext"/>
              <w:jc w:val="right"/>
              <w:rPr>
                <w:b/>
                <w:bCs/>
              </w:rPr>
            </w:pPr>
            <w:r>
              <w:rPr>
                <w:b/>
                <w:bCs/>
              </w:rPr>
              <w:t>(1,479)</w:t>
            </w:r>
          </w:p>
        </w:tc>
      </w:tr>
    </w:tbl>
    <w:p w14:paraId="44B2E0D3" w14:textId="77777777" w:rsidR="00AF51F1" w:rsidRDefault="00AF51F1">
      <w:pPr>
        <w:pStyle w:val="09-Bodytext"/>
        <w:rPr>
          <w:shd w:val="clear" w:color="auto" w:fill="FFFF00"/>
        </w:rPr>
      </w:pPr>
    </w:p>
    <w:p w14:paraId="1D67E72E" w14:textId="77777777" w:rsidR="00AF51F1" w:rsidRDefault="00AF51F1">
      <w:pPr>
        <w:spacing w:after="160"/>
        <w:rPr>
          <w:rFonts w:cs="Arial"/>
          <w:sz w:val="22"/>
          <w:szCs w:val="22"/>
          <w:shd w:val="clear" w:color="auto" w:fill="FFFF00"/>
        </w:rPr>
      </w:pPr>
    </w:p>
    <w:p w14:paraId="361C9219" w14:textId="77777777" w:rsidR="00AF51F1" w:rsidRDefault="00711D3C">
      <w:pPr>
        <w:pStyle w:val="Heading2"/>
        <w:pageBreakBefore/>
      </w:pPr>
      <w:r>
        <w:rPr>
          <w:sz w:val="22"/>
          <w:szCs w:val="22"/>
        </w:rPr>
        <w:lastRenderedPageBreak/>
        <w:t>Comprehensive Income and Expenditure Statement for the year ended 31 March 2022</w:t>
      </w:r>
    </w:p>
    <w:p w14:paraId="011DA061" w14:textId="77777777" w:rsidR="00AF51F1" w:rsidRDefault="00711D3C">
      <w:pPr>
        <w:pStyle w:val="09-Bodytext"/>
      </w:pPr>
      <w:r>
        <w:t xml:space="preserve">This statement shows income generated by the Board during the year and how it was spent on services and financing costs.  </w:t>
      </w:r>
    </w:p>
    <w:p w14:paraId="689E4DCD" w14:textId="77777777" w:rsidR="00AF51F1" w:rsidRDefault="00AF51F1">
      <w:pPr>
        <w:pStyle w:val="09-Bodytext"/>
        <w:rPr>
          <w:shd w:val="clear" w:color="auto" w:fill="FFFF00"/>
        </w:rPr>
      </w:pPr>
    </w:p>
    <w:tbl>
      <w:tblPr>
        <w:tblW w:w="9209" w:type="dxa"/>
        <w:tblLayout w:type="fixed"/>
        <w:tblCellMar>
          <w:left w:w="10" w:type="dxa"/>
          <w:right w:w="10" w:type="dxa"/>
        </w:tblCellMar>
        <w:tblLook w:val="0000" w:firstRow="0" w:lastRow="0" w:firstColumn="0" w:lastColumn="0" w:noHBand="0" w:noVBand="0"/>
      </w:tblPr>
      <w:tblGrid>
        <w:gridCol w:w="1413"/>
        <w:gridCol w:w="5953"/>
        <w:gridCol w:w="1134"/>
        <w:gridCol w:w="709"/>
      </w:tblGrid>
      <w:tr w:rsidR="00AF51F1" w14:paraId="3093DACF" w14:textId="77777777">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BA3E4" w14:textId="77777777" w:rsidR="00AF51F1" w:rsidRDefault="00711D3C">
            <w:pPr>
              <w:pStyle w:val="09-Bodytext"/>
              <w:jc w:val="right"/>
              <w:rPr>
                <w:b/>
              </w:rPr>
            </w:pPr>
            <w:r>
              <w:rPr>
                <w:b/>
              </w:rPr>
              <w:t>2020/21</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6B2EC7" w14:textId="77777777" w:rsidR="00AF51F1" w:rsidRDefault="00AF51F1">
            <w:pPr>
              <w:pStyle w:val="09-Bodytext"/>
              <w:rPr>
                <w: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EE770A" w14:textId="77777777" w:rsidR="00AF51F1" w:rsidRDefault="00711D3C">
            <w:pPr>
              <w:pStyle w:val="09-Bodytext"/>
              <w:jc w:val="right"/>
              <w:rPr>
                <w:b/>
              </w:rPr>
            </w:pPr>
            <w:r>
              <w:rPr>
                <w:b/>
              </w:rPr>
              <w:t>2021/22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98018" w14:textId="77777777" w:rsidR="00AF51F1" w:rsidRDefault="00711D3C">
            <w:pPr>
              <w:pStyle w:val="09-Bodytext"/>
              <w:jc w:val="center"/>
              <w:rPr>
                <w:b/>
                <w:sz w:val="20"/>
              </w:rPr>
            </w:pPr>
            <w:r>
              <w:rPr>
                <w:b/>
                <w:sz w:val="20"/>
              </w:rPr>
              <w:t>Note</w:t>
            </w:r>
          </w:p>
        </w:tc>
      </w:tr>
      <w:tr w:rsidR="00AF51F1" w14:paraId="0205AE0E" w14:textId="77777777">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DF29E" w14:textId="77777777" w:rsidR="00AF51F1" w:rsidRDefault="00711D3C">
            <w:pPr>
              <w:pStyle w:val="09-Bodytext"/>
              <w:jc w:val="right"/>
              <w:rPr>
                <w:b/>
              </w:rPr>
            </w:pPr>
            <w:r>
              <w:rPr>
                <w:b/>
              </w:rPr>
              <w:t>Actual</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172CF" w14:textId="77777777" w:rsidR="00AF51F1" w:rsidRDefault="00AF51F1">
            <w:pPr>
              <w:pStyle w:val="09-Bodytext"/>
              <w:rPr>
                <w: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E601D" w14:textId="77777777" w:rsidR="00AF51F1" w:rsidRDefault="00711D3C">
            <w:pPr>
              <w:pStyle w:val="09-Bodytext"/>
              <w:jc w:val="right"/>
              <w:rPr>
                <w:b/>
              </w:rPr>
            </w:pPr>
            <w:r>
              <w:rPr>
                <w:b/>
              </w:rPr>
              <w:t>Actual</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A2E7A" w14:textId="77777777" w:rsidR="00AF51F1" w:rsidRDefault="00AF51F1">
            <w:pPr>
              <w:pStyle w:val="09-Bodytext"/>
              <w:jc w:val="center"/>
              <w:rPr>
                <w:b/>
                <w:sz w:val="20"/>
                <w:shd w:val="clear" w:color="auto" w:fill="FFFF00"/>
              </w:rPr>
            </w:pPr>
          </w:p>
        </w:tc>
      </w:tr>
      <w:tr w:rsidR="00AF51F1" w14:paraId="2A5349FA" w14:textId="77777777">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2F740" w14:textId="77777777" w:rsidR="00AF51F1" w:rsidRDefault="00711D3C">
            <w:pPr>
              <w:pStyle w:val="09-Bodytext"/>
              <w:jc w:val="right"/>
              <w:rPr>
                <w:b/>
              </w:rPr>
            </w:pPr>
            <w:r>
              <w:rPr>
                <w:b/>
              </w:rPr>
              <w:t>£000</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41384" w14:textId="77777777" w:rsidR="00AF51F1" w:rsidRDefault="00AF51F1">
            <w:pPr>
              <w:pStyle w:val="09-Bodytext"/>
              <w:rPr>
                <w: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D8173" w14:textId="77777777" w:rsidR="00AF51F1" w:rsidRDefault="00711D3C">
            <w:pPr>
              <w:pStyle w:val="09-Bodytext"/>
              <w:jc w:val="right"/>
              <w:rPr>
                <w:b/>
              </w:rPr>
            </w:pPr>
            <w:r>
              <w:rPr>
                <w:b/>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BF218" w14:textId="77777777" w:rsidR="00AF51F1" w:rsidRDefault="00AF51F1">
            <w:pPr>
              <w:pStyle w:val="09-Bodytext"/>
              <w:jc w:val="center"/>
              <w:rPr>
                <w:b/>
                <w:sz w:val="20"/>
                <w:shd w:val="clear" w:color="auto" w:fill="FFFF00"/>
              </w:rPr>
            </w:pPr>
          </w:p>
        </w:tc>
      </w:tr>
      <w:tr w:rsidR="00AF51F1" w14:paraId="59A2D898" w14:textId="77777777">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9CBB1" w14:textId="77777777" w:rsidR="00AF51F1" w:rsidRDefault="00711D3C">
            <w:pPr>
              <w:pStyle w:val="09-Bodytext"/>
              <w:jc w:val="right"/>
            </w:pPr>
            <w:r>
              <w:t>3,111</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83745" w14:textId="77777777" w:rsidR="00AF51F1" w:rsidRDefault="00711D3C">
            <w:pPr>
              <w:pStyle w:val="09-Bodytext"/>
            </w:pPr>
            <w:r>
              <w:t>Employee Costs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D101C" w14:textId="77777777" w:rsidR="00AF51F1" w:rsidRDefault="00711D3C">
            <w:pPr>
              <w:pStyle w:val="09-Bodytext"/>
              <w:jc w:val="right"/>
            </w:pPr>
            <w:r>
              <w:t>3,520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FC4F0" w14:textId="77777777" w:rsidR="00AF51F1" w:rsidRDefault="00AF51F1">
            <w:pPr>
              <w:pStyle w:val="09-Bodytext"/>
              <w:jc w:val="center"/>
              <w:rPr>
                <w:sz w:val="20"/>
                <w:shd w:val="clear" w:color="auto" w:fill="FFFF00"/>
              </w:rPr>
            </w:pPr>
          </w:p>
        </w:tc>
      </w:tr>
      <w:tr w:rsidR="00AF51F1" w14:paraId="0DD9C4F8" w14:textId="77777777">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C1BE7" w14:textId="77777777" w:rsidR="00AF51F1" w:rsidRDefault="00711D3C">
            <w:pPr>
              <w:pStyle w:val="09-Bodytext"/>
              <w:jc w:val="right"/>
            </w:pPr>
            <w:r>
              <w:t>381</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76136" w14:textId="77777777" w:rsidR="00AF51F1" w:rsidRDefault="00711D3C">
            <w:pPr>
              <w:pStyle w:val="09-Bodytext"/>
            </w:pPr>
            <w:r>
              <w:t>Property Costs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9047F" w14:textId="77777777" w:rsidR="00AF51F1" w:rsidRDefault="00711D3C">
            <w:pPr>
              <w:pStyle w:val="09-Bodytext"/>
              <w:jc w:val="right"/>
            </w:pPr>
            <w:r>
              <w:t>201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E5899" w14:textId="77777777" w:rsidR="00AF51F1" w:rsidRDefault="00AF51F1">
            <w:pPr>
              <w:pStyle w:val="09-Bodytext"/>
              <w:jc w:val="center"/>
              <w:rPr>
                <w:sz w:val="20"/>
                <w:shd w:val="clear" w:color="auto" w:fill="FFFF00"/>
              </w:rPr>
            </w:pPr>
          </w:p>
        </w:tc>
      </w:tr>
      <w:tr w:rsidR="00AF51F1" w14:paraId="7BC33CF5" w14:textId="77777777">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61A55" w14:textId="77777777" w:rsidR="00AF51F1" w:rsidRDefault="00711D3C">
            <w:pPr>
              <w:pStyle w:val="09-Bodytext"/>
              <w:jc w:val="right"/>
            </w:pPr>
            <w:r>
              <w:t>122</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D3094" w14:textId="77777777" w:rsidR="00AF51F1" w:rsidRDefault="00711D3C">
            <w:pPr>
              <w:pStyle w:val="09-Bodytext"/>
            </w:pPr>
            <w:r>
              <w:t>Supplies and Services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D87CB" w14:textId="77777777" w:rsidR="00AF51F1" w:rsidRDefault="00711D3C">
            <w:pPr>
              <w:pStyle w:val="09-Bodytext"/>
              <w:jc w:val="right"/>
            </w:pPr>
            <w:r>
              <w:t>147</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F2B0C" w14:textId="77777777" w:rsidR="00AF51F1" w:rsidRDefault="00AF51F1">
            <w:pPr>
              <w:pStyle w:val="09-Bodytext"/>
              <w:jc w:val="center"/>
              <w:rPr>
                <w:sz w:val="20"/>
                <w:shd w:val="clear" w:color="auto" w:fill="FFFF00"/>
              </w:rPr>
            </w:pPr>
          </w:p>
        </w:tc>
      </w:tr>
      <w:tr w:rsidR="00AF51F1" w14:paraId="2DE20FBD" w14:textId="77777777">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66C6E" w14:textId="77777777" w:rsidR="00AF51F1" w:rsidRDefault="00711D3C">
            <w:pPr>
              <w:pStyle w:val="09-Bodytext"/>
              <w:jc w:val="right"/>
            </w:pPr>
            <w:r>
              <w:t>0</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A8150" w14:textId="77777777" w:rsidR="00AF51F1" w:rsidRDefault="00711D3C">
            <w:pPr>
              <w:pStyle w:val="09-Bodytext"/>
            </w:pPr>
            <w:r>
              <w:t>Transport and Plant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FD399" w14:textId="77777777" w:rsidR="00AF51F1" w:rsidRDefault="00711D3C">
            <w:pPr>
              <w:pStyle w:val="09-Bodytext"/>
              <w:jc w:val="right"/>
            </w:pPr>
            <w: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56009" w14:textId="77777777" w:rsidR="00AF51F1" w:rsidRDefault="00AF51F1">
            <w:pPr>
              <w:pStyle w:val="09-Bodytext"/>
              <w:jc w:val="center"/>
              <w:rPr>
                <w:sz w:val="20"/>
                <w:shd w:val="clear" w:color="auto" w:fill="FFFF00"/>
              </w:rPr>
            </w:pPr>
          </w:p>
        </w:tc>
      </w:tr>
      <w:tr w:rsidR="00AF51F1" w14:paraId="3CBE7323" w14:textId="77777777">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290AA" w14:textId="77777777" w:rsidR="00AF51F1" w:rsidRDefault="00711D3C">
            <w:pPr>
              <w:pStyle w:val="09-Bodytext"/>
              <w:jc w:val="right"/>
            </w:pPr>
            <w:r>
              <w:t>864</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49CC8" w14:textId="77777777" w:rsidR="00AF51F1" w:rsidRDefault="00711D3C">
            <w:pPr>
              <w:pStyle w:val="09-Bodytext"/>
            </w:pPr>
            <w:r>
              <w:t>Administration Costs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F6206" w14:textId="77777777" w:rsidR="00AF51F1" w:rsidRDefault="00711D3C">
            <w:pPr>
              <w:pStyle w:val="09-Bodytext"/>
              <w:jc w:val="right"/>
            </w:pPr>
            <w:r>
              <w:t>746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050F3" w14:textId="77777777" w:rsidR="00AF51F1" w:rsidRDefault="00AF51F1">
            <w:pPr>
              <w:pStyle w:val="09-Bodytext"/>
              <w:jc w:val="center"/>
              <w:rPr>
                <w:sz w:val="20"/>
                <w:shd w:val="clear" w:color="auto" w:fill="FFFF00"/>
              </w:rPr>
            </w:pPr>
          </w:p>
        </w:tc>
      </w:tr>
      <w:tr w:rsidR="00AF51F1" w14:paraId="45BAE76A" w14:textId="77777777">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3DF1A" w14:textId="77777777" w:rsidR="00AF51F1" w:rsidRDefault="00711D3C">
            <w:pPr>
              <w:pStyle w:val="09-Bodytext"/>
              <w:jc w:val="right"/>
            </w:pPr>
            <w:r>
              <w:t>28</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2DD09" w14:textId="77777777" w:rsidR="00AF51F1" w:rsidRDefault="00711D3C">
            <w:pPr>
              <w:pStyle w:val="09-Bodytext"/>
            </w:pPr>
            <w:r>
              <w:t>Payments to Other Bodies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66E06" w14:textId="77777777" w:rsidR="00AF51F1" w:rsidRDefault="00711D3C">
            <w:pPr>
              <w:pStyle w:val="09-Bodytext"/>
              <w:jc w:val="right"/>
            </w:pPr>
            <w:r>
              <w:t>28</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7A828" w14:textId="77777777" w:rsidR="00AF51F1" w:rsidRDefault="00AF51F1">
            <w:pPr>
              <w:pStyle w:val="09-Bodytext"/>
              <w:jc w:val="center"/>
              <w:rPr>
                <w:sz w:val="20"/>
                <w:shd w:val="clear" w:color="auto" w:fill="FFFF00"/>
              </w:rPr>
            </w:pPr>
          </w:p>
        </w:tc>
      </w:tr>
      <w:tr w:rsidR="00AF51F1" w14:paraId="5D420228" w14:textId="77777777">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CA207" w14:textId="77777777" w:rsidR="00AF51F1" w:rsidRDefault="00711D3C">
            <w:pPr>
              <w:pStyle w:val="09-Bodytext"/>
              <w:jc w:val="right"/>
            </w:pPr>
            <w:r>
              <w:t>27</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0BC2F" w14:textId="77777777" w:rsidR="00AF51F1" w:rsidRDefault="00711D3C">
            <w:pPr>
              <w:pStyle w:val="09-Bodytext"/>
            </w:pPr>
            <w:r>
              <w:t>Financing Charges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04884" w14:textId="77777777" w:rsidR="00AF51F1" w:rsidRDefault="00711D3C">
            <w:pPr>
              <w:pStyle w:val="09-Bodytext"/>
              <w:jc w:val="right"/>
            </w:pPr>
            <w:r>
              <w:t>56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AC9F1" w14:textId="77777777" w:rsidR="00AF51F1" w:rsidRDefault="00AF51F1">
            <w:pPr>
              <w:pStyle w:val="09-Bodytext"/>
              <w:jc w:val="center"/>
              <w:rPr>
                <w:sz w:val="20"/>
                <w:shd w:val="clear" w:color="auto" w:fill="FFFF00"/>
              </w:rPr>
            </w:pPr>
          </w:p>
        </w:tc>
      </w:tr>
      <w:tr w:rsidR="00AF51F1" w14:paraId="5F862D61" w14:textId="77777777">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9B00B" w14:textId="77777777" w:rsidR="00AF51F1" w:rsidRDefault="00711D3C">
            <w:pPr>
              <w:pStyle w:val="09-Bodytext"/>
              <w:jc w:val="right"/>
              <w:rPr>
                <w:b/>
              </w:rPr>
            </w:pPr>
            <w:r>
              <w:rPr>
                <w:b/>
              </w:rPr>
              <w:t>4,533</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364F9" w14:textId="77777777" w:rsidR="00AF51F1" w:rsidRDefault="00711D3C">
            <w:pPr>
              <w:pStyle w:val="09-Bodytext"/>
              <w:rPr>
                <w:b/>
              </w:rPr>
            </w:pPr>
            <w:r>
              <w:rPr>
                <w:b/>
              </w:rPr>
              <w:t>Total Expenditure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5692A" w14:textId="77777777" w:rsidR="00AF51F1" w:rsidRDefault="00711D3C">
            <w:pPr>
              <w:pStyle w:val="09-Bodytext"/>
              <w:jc w:val="right"/>
              <w:rPr>
                <w:b/>
              </w:rPr>
            </w:pPr>
            <w:r>
              <w:rPr>
                <w:b/>
              </w:rPr>
              <w:t>4,698</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A05FC0" w14:textId="77777777" w:rsidR="00AF51F1" w:rsidRDefault="00AF51F1">
            <w:pPr>
              <w:pStyle w:val="09-Bodytext"/>
              <w:jc w:val="center"/>
              <w:rPr>
                <w:b/>
                <w:sz w:val="20"/>
                <w:shd w:val="clear" w:color="auto" w:fill="FFFF00"/>
              </w:rPr>
            </w:pPr>
          </w:p>
        </w:tc>
      </w:tr>
      <w:tr w:rsidR="00AF51F1" w14:paraId="67B958B1" w14:textId="77777777">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7B9FB" w14:textId="77777777" w:rsidR="00AF51F1" w:rsidRDefault="00711D3C">
            <w:pPr>
              <w:pStyle w:val="09-Bodytext"/>
              <w:jc w:val="right"/>
            </w:pPr>
            <w:r>
              <w:t>(4,472)</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6A08F" w14:textId="77777777" w:rsidR="00AF51F1" w:rsidRDefault="00711D3C">
            <w:pPr>
              <w:pStyle w:val="09-Bodytext"/>
            </w:pPr>
            <w:r>
              <w:t>Income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A67A3" w14:textId="77777777" w:rsidR="00AF51F1" w:rsidRDefault="00711D3C">
            <w:pPr>
              <w:pStyle w:val="09-Bodytext"/>
              <w:jc w:val="right"/>
            </w:pPr>
            <w:r>
              <w:t>(4,386)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6C251" w14:textId="77777777" w:rsidR="00AF51F1" w:rsidRDefault="00AF51F1">
            <w:pPr>
              <w:pStyle w:val="09-Bodytext"/>
              <w:jc w:val="center"/>
              <w:rPr>
                <w:sz w:val="20"/>
                <w:shd w:val="clear" w:color="auto" w:fill="FFFF00"/>
              </w:rPr>
            </w:pPr>
          </w:p>
        </w:tc>
      </w:tr>
      <w:tr w:rsidR="00AF51F1" w14:paraId="08E2AD35" w14:textId="77777777">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C7224" w14:textId="77777777" w:rsidR="00AF51F1" w:rsidRDefault="00711D3C">
            <w:pPr>
              <w:pStyle w:val="09-Bodytext"/>
              <w:jc w:val="right"/>
              <w:rPr>
                <w:b/>
                <w:bCs/>
              </w:rPr>
            </w:pPr>
            <w:r>
              <w:rPr>
                <w:b/>
                <w:bCs/>
              </w:rPr>
              <w:t>61</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3A1E0" w14:textId="77777777" w:rsidR="00AF51F1" w:rsidRDefault="00711D3C">
            <w:pPr>
              <w:pStyle w:val="09-Bodytext"/>
              <w:rPr>
                <w:b/>
              </w:rPr>
            </w:pPr>
            <w:r>
              <w:rPr>
                <w:b/>
              </w:rPr>
              <w:t>Net Cost of Services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5DD32" w14:textId="77777777" w:rsidR="00AF51F1" w:rsidRDefault="00711D3C">
            <w:pPr>
              <w:pStyle w:val="09-Bodytext"/>
              <w:jc w:val="right"/>
              <w:rPr>
                <w:b/>
              </w:rPr>
            </w:pPr>
            <w:r>
              <w:rPr>
                <w:b/>
              </w:rPr>
              <w:t>312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3CAAA" w14:textId="77777777" w:rsidR="00AF51F1" w:rsidRDefault="00AF51F1">
            <w:pPr>
              <w:pStyle w:val="09-Bodytext"/>
              <w:jc w:val="center"/>
              <w:rPr>
                <w:b/>
                <w:sz w:val="20"/>
                <w:shd w:val="clear" w:color="auto" w:fill="FFFF00"/>
              </w:rPr>
            </w:pPr>
          </w:p>
        </w:tc>
      </w:tr>
      <w:tr w:rsidR="00AF51F1" w14:paraId="1D2473E4" w14:textId="77777777">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B8EBC" w14:textId="77777777" w:rsidR="00AF51F1" w:rsidRDefault="00711D3C">
            <w:pPr>
              <w:pStyle w:val="09-Bodytext"/>
              <w:jc w:val="right"/>
            </w:pPr>
            <w:r>
              <w:t>30</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3FC33F" w14:textId="77777777" w:rsidR="00AF51F1" w:rsidRDefault="00711D3C">
            <w:pPr>
              <w:pStyle w:val="09-Bodytext"/>
            </w:pPr>
            <w:r>
              <w:t>Financing and Investment Income and Expenditure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238F5" w14:textId="77777777" w:rsidR="00AF51F1" w:rsidRDefault="00711D3C">
            <w:pPr>
              <w:pStyle w:val="09-Bodytext"/>
              <w:jc w:val="right"/>
            </w:pPr>
            <w:r>
              <w:t>51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FC63B" w14:textId="77777777" w:rsidR="00AF51F1" w:rsidRDefault="00AF51F1">
            <w:pPr>
              <w:pStyle w:val="09-Bodytext"/>
              <w:jc w:val="center"/>
              <w:rPr>
                <w:sz w:val="20"/>
                <w:shd w:val="clear" w:color="auto" w:fill="FFFF00"/>
              </w:rPr>
            </w:pPr>
          </w:p>
        </w:tc>
      </w:tr>
      <w:tr w:rsidR="00AF51F1" w14:paraId="05857DFC" w14:textId="77777777">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EBCFC" w14:textId="77777777" w:rsidR="00AF51F1" w:rsidRDefault="00711D3C">
            <w:pPr>
              <w:pStyle w:val="09-Bodytext"/>
              <w:jc w:val="right"/>
              <w:rPr>
                <w:b/>
                <w:bCs/>
              </w:rPr>
            </w:pPr>
            <w:r>
              <w:rPr>
                <w:b/>
                <w:bCs/>
              </w:rPr>
              <w:t>91</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4CA25" w14:textId="77777777" w:rsidR="00AF51F1" w:rsidRDefault="00711D3C">
            <w:pPr>
              <w:pStyle w:val="09-Bodytext"/>
              <w:rPr>
                <w:b/>
              </w:rPr>
            </w:pPr>
            <w:r>
              <w:rPr>
                <w:b/>
              </w:rPr>
              <w:t xml:space="preserve">Deficit on the Provision of Services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BA291" w14:textId="77777777" w:rsidR="00AF51F1" w:rsidRDefault="00711D3C">
            <w:pPr>
              <w:pStyle w:val="09-Bodytext"/>
              <w:jc w:val="right"/>
              <w:rPr>
                <w:b/>
              </w:rPr>
            </w:pPr>
            <w:r>
              <w:rPr>
                <w:b/>
              </w:rPr>
              <w:t>363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86633" w14:textId="77777777" w:rsidR="00AF51F1" w:rsidRDefault="00AF51F1">
            <w:pPr>
              <w:pStyle w:val="09-Bodytext"/>
              <w:jc w:val="center"/>
              <w:rPr>
                <w:b/>
                <w:sz w:val="20"/>
                <w:shd w:val="clear" w:color="auto" w:fill="FFFF00"/>
              </w:rPr>
            </w:pPr>
          </w:p>
        </w:tc>
      </w:tr>
      <w:tr w:rsidR="00AF51F1" w14:paraId="748C2BE1" w14:textId="77777777">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EDCA6" w14:textId="77777777" w:rsidR="00AF51F1" w:rsidRDefault="00711D3C">
            <w:pPr>
              <w:pStyle w:val="09-Bodytext"/>
              <w:jc w:val="right"/>
            </w:pPr>
            <w:r>
              <w:t>721</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3BDAC" w14:textId="77777777" w:rsidR="00AF51F1" w:rsidRDefault="00711D3C">
            <w:pPr>
              <w:pStyle w:val="09-Bodytext"/>
            </w:pPr>
            <w:r>
              <w:t>Re-measurement of the Net Defined Benefit Asset/Liability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B04294" w14:textId="77777777" w:rsidR="00AF51F1" w:rsidRDefault="00711D3C">
            <w:pPr>
              <w:pStyle w:val="09-Bodytext"/>
              <w:jc w:val="right"/>
            </w:pPr>
            <w:r>
              <w:t>(4,198)</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71276" w14:textId="77777777" w:rsidR="00AF51F1" w:rsidRDefault="00711D3C">
            <w:pPr>
              <w:pStyle w:val="09-Bodytext"/>
              <w:jc w:val="center"/>
            </w:pPr>
            <w:r>
              <w:rPr>
                <w:sz w:val="20"/>
              </w:rPr>
              <w:t>16</w:t>
            </w:r>
          </w:p>
        </w:tc>
      </w:tr>
      <w:tr w:rsidR="00AF51F1" w14:paraId="5CF6EA72" w14:textId="77777777">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C500C" w14:textId="77777777" w:rsidR="00AF51F1" w:rsidRDefault="00711D3C">
            <w:pPr>
              <w:pStyle w:val="09-Bodytext"/>
              <w:jc w:val="right"/>
              <w:rPr>
                <w:b/>
                <w:bCs/>
              </w:rPr>
            </w:pPr>
            <w:r>
              <w:rPr>
                <w:b/>
                <w:bCs/>
              </w:rPr>
              <w:t>721</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7B931" w14:textId="77777777" w:rsidR="00AF51F1" w:rsidRDefault="00711D3C">
            <w:pPr>
              <w:pStyle w:val="09-Bodytext"/>
              <w:rPr>
                <w:b/>
              </w:rPr>
            </w:pPr>
            <w:r>
              <w:rPr>
                <w:b/>
              </w:rPr>
              <w:t>Other Comprehensive Income and Expenditure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88F07" w14:textId="77777777" w:rsidR="00AF51F1" w:rsidRDefault="00711D3C">
            <w:pPr>
              <w:pStyle w:val="09-Bodytext"/>
              <w:jc w:val="right"/>
              <w:rPr>
                <w:b/>
              </w:rPr>
            </w:pPr>
            <w:r>
              <w:rPr>
                <w:b/>
              </w:rPr>
              <w:t>(4,198)</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3CDB1" w14:textId="77777777" w:rsidR="00AF51F1" w:rsidRDefault="00AF51F1">
            <w:pPr>
              <w:pStyle w:val="09-Bodytext"/>
              <w:jc w:val="center"/>
              <w:rPr>
                <w:b/>
                <w:sz w:val="20"/>
                <w:shd w:val="clear" w:color="auto" w:fill="FFFF00"/>
              </w:rPr>
            </w:pPr>
          </w:p>
        </w:tc>
      </w:tr>
      <w:tr w:rsidR="00AF51F1" w14:paraId="51597975" w14:textId="77777777">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D0E08" w14:textId="77777777" w:rsidR="00AF51F1" w:rsidRDefault="00711D3C">
            <w:pPr>
              <w:pStyle w:val="09-Bodytext"/>
              <w:jc w:val="right"/>
              <w:rPr>
                <w:b/>
                <w:bCs/>
              </w:rPr>
            </w:pPr>
            <w:r>
              <w:rPr>
                <w:b/>
                <w:bCs/>
              </w:rPr>
              <w:t>812</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FEAA0" w14:textId="77777777" w:rsidR="00AF51F1" w:rsidRDefault="00711D3C">
            <w:pPr>
              <w:pStyle w:val="09-Bodytext"/>
              <w:rPr>
                <w:b/>
              </w:rPr>
            </w:pPr>
            <w:r>
              <w:rPr>
                <w:b/>
              </w:rPr>
              <w:t>Total Comprehensive Income and Expenditure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8CBEC" w14:textId="77777777" w:rsidR="00AF51F1" w:rsidRDefault="00711D3C">
            <w:pPr>
              <w:pStyle w:val="09-Bodytext"/>
              <w:jc w:val="right"/>
              <w:rPr>
                <w:b/>
              </w:rPr>
            </w:pPr>
            <w:r>
              <w:rPr>
                <w:b/>
              </w:rPr>
              <w:t>(3,835)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407BB" w14:textId="77777777" w:rsidR="00AF51F1" w:rsidRDefault="00AF51F1">
            <w:pPr>
              <w:pStyle w:val="09-Bodytext"/>
              <w:jc w:val="center"/>
              <w:rPr>
                <w:b/>
                <w:sz w:val="20"/>
                <w:shd w:val="clear" w:color="auto" w:fill="FFFF00"/>
              </w:rPr>
            </w:pPr>
          </w:p>
        </w:tc>
      </w:tr>
    </w:tbl>
    <w:p w14:paraId="70956653" w14:textId="77777777" w:rsidR="00AF51F1" w:rsidRDefault="00AF51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sz w:val="22"/>
          <w:szCs w:val="22"/>
          <w:shd w:val="clear" w:color="auto" w:fill="FFFF00"/>
        </w:rPr>
      </w:pPr>
    </w:p>
    <w:p w14:paraId="2E8382C7" w14:textId="77777777" w:rsidR="00AF51F1" w:rsidRDefault="00AF51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sz w:val="22"/>
          <w:szCs w:val="22"/>
          <w:shd w:val="clear" w:color="auto" w:fill="FFFF00"/>
        </w:rPr>
      </w:pPr>
    </w:p>
    <w:p w14:paraId="063CD341" w14:textId="77777777" w:rsidR="00AF51F1" w:rsidRDefault="00711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sz w:val="22"/>
          <w:szCs w:val="22"/>
        </w:rPr>
      </w:pPr>
      <w:r>
        <w:rPr>
          <w:rFonts w:cs="Arial"/>
          <w:b/>
          <w:sz w:val="22"/>
          <w:szCs w:val="22"/>
        </w:rPr>
        <w:tab/>
      </w:r>
    </w:p>
    <w:p w14:paraId="6681189D" w14:textId="77777777" w:rsidR="00AF51F1" w:rsidRDefault="00AF51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sz w:val="22"/>
          <w:szCs w:val="22"/>
          <w:shd w:val="clear" w:color="auto" w:fill="FFFF00"/>
        </w:rPr>
      </w:pPr>
    </w:p>
    <w:p w14:paraId="1D124405" w14:textId="6189CEE4" w:rsidR="005351E2" w:rsidRDefault="005351E2">
      <w:pPr>
        <w:suppressAutoHyphens w:val="0"/>
        <w:rPr>
          <w:rFonts w:cs="Arial"/>
          <w:b/>
          <w:sz w:val="22"/>
          <w:szCs w:val="22"/>
          <w:shd w:val="clear" w:color="auto" w:fill="FFFF00"/>
        </w:rPr>
      </w:pPr>
      <w:r>
        <w:rPr>
          <w:rFonts w:cs="Arial"/>
          <w:b/>
          <w:sz w:val="22"/>
          <w:szCs w:val="22"/>
          <w:shd w:val="clear" w:color="auto" w:fill="FFFF00"/>
        </w:rPr>
        <w:br w:type="page"/>
      </w:r>
    </w:p>
    <w:p w14:paraId="60C83FCB" w14:textId="77777777" w:rsidR="00AF51F1" w:rsidRDefault="00711D3C">
      <w:pPr>
        <w:pStyle w:val="Heading2"/>
        <w:rPr>
          <w:sz w:val="22"/>
          <w:szCs w:val="22"/>
        </w:rPr>
      </w:pPr>
      <w:r>
        <w:rPr>
          <w:sz w:val="22"/>
          <w:szCs w:val="22"/>
        </w:rPr>
        <w:lastRenderedPageBreak/>
        <w:t xml:space="preserve">Balance Sheet as </w:t>
      </w:r>
      <w:proofErr w:type="gramStart"/>
      <w:r>
        <w:rPr>
          <w:sz w:val="22"/>
          <w:szCs w:val="22"/>
        </w:rPr>
        <w:t>at</w:t>
      </w:r>
      <w:proofErr w:type="gramEnd"/>
      <w:r>
        <w:rPr>
          <w:sz w:val="22"/>
          <w:szCs w:val="22"/>
        </w:rPr>
        <w:t xml:space="preserve"> 31 March 2022</w:t>
      </w:r>
    </w:p>
    <w:p w14:paraId="7D442FA0" w14:textId="77777777" w:rsidR="00AF51F1" w:rsidRDefault="00AF51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sz w:val="22"/>
          <w:szCs w:val="22"/>
        </w:rPr>
      </w:pPr>
    </w:p>
    <w:p w14:paraId="3BE40802" w14:textId="77777777" w:rsidR="00AF51F1" w:rsidRDefault="00711D3C">
      <w:pPr>
        <w:pStyle w:val="09-Bodytext"/>
      </w:pPr>
      <w:r>
        <w:t>This statement shows the resources of the Board and means by which they were financed.  It shows the values as at the Balance Sheet date of the assets and liabilities recognised by the Board.</w:t>
      </w:r>
    </w:p>
    <w:p w14:paraId="36140A5F" w14:textId="77777777" w:rsidR="00AF51F1" w:rsidRDefault="00AF51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2"/>
          <w:szCs w:val="22"/>
          <w:shd w:val="clear" w:color="auto" w:fill="FFFF00"/>
        </w:rPr>
      </w:pPr>
    </w:p>
    <w:tbl>
      <w:tblPr>
        <w:tblW w:w="8039" w:type="dxa"/>
        <w:tblCellMar>
          <w:left w:w="10" w:type="dxa"/>
          <w:right w:w="10" w:type="dxa"/>
        </w:tblCellMar>
        <w:tblLook w:val="0000" w:firstRow="0" w:lastRow="0" w:firstColumn="0" w:lastColumn="0" w:noHBand="0" w:noVBand="0"/>
      </w:tblPr>
      <w:tblGrid>
        <w:gridCol w:w="1301"/>
        <w:gridCol w:w="4686"/>
        <w:gridCol w:w="1391"/>
        <w:gridCol w:w="661"/>
      </w:tblGrid>
      <w:tr w:rsidR="00AF51F1" w14:paraId="09CF4A7C" w14:textId="77777777">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EA997" w14:textId="77777777" w:rsidR="00AF51F1" w:rsidRDefault="00711D3C">
            <w:pPr>
              <w:pStyle w:val="09-Bodytext"/>
              <w:jc w:val="right"/>
              <w:rPr>
                <w:b/>
                <w:bCs/>
              </w:rPr>
            </w:pPr>
            <w:r>
              <w:rPr>
                <w:b/>
                <w:bCs/>
              </w:rPr>
              <w:t>31 March 2021</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CDFD9" w14:textId="77777777" w:rsidR="00AF51F1" w:rsidRDefault="00AF51F1">
            <w:pPr>
              <w:pStyle w:val="09-Bodytext"/>
              <w:rPr>
                <w:b/>
                <w:bCs/>
              </w:rPr>
            </w:pP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44114" w14:textId="77777777" w:rsidR="00AF51F1" w:rsidRDefault="00711D3C">
            <w:pPr>
              <w:pStyle w:val="09-Bodytext"/>
              <w:jc w:val="right"/>
              <w:rPr>
                <w:b/>
                <w:bCs/>
              </w:rPr>
            </w:pPr>
            <w:r>
              <w:rPr>
                <w:b/>
                <w:bCs/>
              </w:rPr>
              <w:t>31 March 2022</w:t>
            </w:r>
          </w:p>
        </w:tc>
        <w:tc>
          <w:tcPr>
            <w:tcW w:w="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16D6A" w14:textId="77777777" w:rsidR="00AF51F1" w:rsidRDefault="00711D3C">
            <w:pPr>
              <w:pStyle w:val="09-Bodytext"/>
              <w:jc w:val="center"/>
              <w:rPr>
                <w:b/>
                <w:bCs/>
                <w:sz w:val="20"/>
              </w:rPr>
            </w:pPr>
            <w:r>
              <w:rPr>
                <w:b/>
                <w:bCs/>
                <w:sz w:val="20"/>
              </w:rPr>
              <w:t>Note</w:t>
            </w:r>
          </w:p>
        </w:tc>
      </w:tr>
      <w:tr w:rsidR="00AF51F1" w14:paraId="4E8D6EF7" w14:textId="77777777">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93BC1" w14:textId="77777777" w:rsidR="00AF51F1" w:rsidRDefault="00711D3C">
            <w:pPr>
              <w:pStyle w:val="09-Bodytext"/>
              <w:jc w:val="right"/>
              <w:rPr>
                <w:b/>
                <w:bCs/>
              </w:rPr>
            </w:pPr>
            <w:r>
              <w:rPr>
                <w:b/>
                <w:bCs/>
              </w:rPr>
              <w:t>£000</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64A9C" w14:textId="77777777" w:rsidR="00AF51F1" w:rsidRDefault="00AF51F1">
            <w:pPr>
              <w:pStyle w:val="09-Bodytext"/>
              <w:rPr>
                <w:b/>
                <w:bCs/>
              </w:rPr>
            </w:pP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900F0" w14:textId="77777777" w:rsidR="00AF51F1" w:rsidRDefault="00711D3C">
            <w:pPr>
              <w:pStyle w:val="09-Bodytext"/>
              <w:jc w:val="right"/>
              <w:rPr>
                <w:b/>
                <w:bCs/>
              </w:rPr>
            </w:pPr>
            <w:r>
              <w:rPr>
                <w:b/>
                <w:bCs/>
              </w:rPr>
              <w:t>£000</w:t>
            </w:r>
          </w:p>
        </w:tc>
        <w:tc>
          <w:tcPr>
            <w:tcW w:w="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5CEDA" w14:textId="77777777" w:rsidR="00AF51F1" w:rsidRDefault="00AF51F1">
            <w:pPr>
              <w:pStyle w:val="09-Bodytext"/>
              <w:jc w:val="center"/>
              <w:rPr>
                <w:b/>
                <w:bCs/>
                <w:sz w:val="20"/>
                <w:shd w:val="clear" w:color="auto" w:fill="FFFF00"/>
              </w:rPr>
            </w:pPr>
          </w:p>
        </w:tc>
      </w:tr>
      <w:tr w:rsidR="00AF51F1" w14:paraId="4F1434D1" w14:textId="77777777">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6D79E" w14:textId="77777777" w:rsidR="00AF51F1" w:rsidRDefault="00AF51F1">
            <w:pPr>
              <w:pStyle w:val="09-Bodytext"/>
              <w:jc w:val="right"/>
            </w:pP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A92BB" w14:textId="77777777" w:rsidR="00AF51F1" w:rsidRDefault="00711D3C">
            <w:pPr>
              <w:pStyle w:val="09-Bodytext"/>
              <w:rPr>
                <w:b/>
                <w:bCs/>
              </w:rPr>
            </w:pPr>
            <w:r>
              <w:rPr>
                <w:b/>
                <w:bCs/>
              </w:rPr>
              <w:t>Non-Current Assets:</w:t>
            </w: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BCA9B" w14:textId="77777777" w:rsidR="00AF51F1" w:rsidRDefault="00AF51F1">
            <w:pPr>
              <w:pStyle w:val="09-Bodytext"/>
              <w:jc w:val="right"/>
            </w:pPr>
          </w:p>
        </w:tc>
        <w:tc>
          <w:tcPr>
            <w:tcW w:w="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85867" w14:textId="77777777" w:rsidR="00AF51F1" w:rsidRDefault="00AF51F1">
            <w:pPr>
              <w:pStyle w:val="09-Bodytext"/>
              <w:jc w:val="center"/>
              <w:rPr>
                <w:sz w:val="20"/>
                <w:shd w:val="clear" w:color="auto" w:fill="FFFF00"/>
              </w:rPr>
            </w:pPr>
          </w:p>
        </w:tc>
      </w:tr>
      <w:tr w:rsidR="00AF51F1" w14:paraId="1D9574B7" w14:textId="77777777">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B281E" w14:textId="77777777" w:rsidR="00AF51F1" w:rsidRDefault="00711D3C">
            <w:pPr>
              <w:pStyle w:val="09-Bodytext"/>
              <w:jc w:val="right"/>
            </w:pPr>
            <w:r>
              <w:t>177</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ED9D8" w14:textId="77777777" w:rsidR="00AF51F1" w:rsidRDefault="00711D3C">
            <w:pPr>
              <w:pStyle w:val="09-Bodytext"/>
            </w:pPr>
            <w:r>
              <w:t>Property, Plant and Equipment</w:t>
            </w: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8103A" w14:textId="77777777" w:rsidR="00AF51F1" w:rsidRDefault="00711D3C">
            <w:pPr>
              <w:pStyle w:val="09-Bodytext"/>
              <w:jc w:val="right"/>
            </w:pPr>
            <w:r>
              <w:t>156</w:t>
            </w:r>
          </w:p>
        </w:tc>
        <w:tc>
          <w:tcPr>
            <w:tcW w:w="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37C55" w14:textId="77777777" w:rsidR="00AF51F1" w:rsidRDefault="00711D3C">
            <w:pPr>
              <w:pStyle w:val="09-Bodytext"/>
              <w:jc w:val="center"/>
            </w:pPr>
            <w:r>
              <w:rPr>
                <w:sz w:val="20"/>
              </w:rPr>
              <w:t>11</w:t>
            </w:r>
          </w:p>
        </w:tc>
      </w:tr>
      <w:tr w:rsidR="00AF51F1" w14:paraId="44B26F0B" w14:textId="77777777">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B4DED" w14:textId="77777777" w:rsidR="00AF51F1" w:rsidRDefault="00711D3C">
            <w:pPr>
              <w:pStyle w:val="09-Bodytext"/>
              <w:jc w:val="right"/>
            </w:pPr>
            <w:r>
              <w:t>0</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9457B" w14:textId="77777777" w:rsidR="00AF51F1" w:rsidRDefault="00711D3C">
            <w:pPr>
              <w:pStyle w:val="09-Bodytext"/>
            </w:pPr>
            <w:r>
              <w:t>Intangible Assets</w:t>
            </w: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B44FE" w14:textId="77777777" w:rsidR="00AF51F1" w:rsidRDefault="00711D3C">
            <w:pPr>
              <w:pStyle w:val="09-Bodytext"/>
              <w:jc w:val="right"/>
            </w:pPr>
            <w:r>
              <w:t>0</w:t>
            </w:r>
          </w:p>
        </w:tc>
        <w:tc>
          <w:tcPr>
            <w:tcW w:w="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A29EC9" w14:textId="77777777" w:rsidR="00AF51F1" w:rsidRDefault="00711D3C">
            <w:pPr>
              <w:pStyle w:val="09-Bodytext"/>
              <w:jc w:val="center"/>
              <w:rPr>
                <w:sz w:val="20"/>
              </w:rPr>
            </w:pPr>
            <w:r>
              <w:rPr>
                <w:sz w:val="20"/>
              </w:rPr>
              <w:t>12</w:t>
            </w:r>
          </w:p>
        </w:tc>
      </w:tr>
      <w:tr w:rsidR="00AF51F1" w14:paraId="5FF7CA77" w14:textId="77777777">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AD3AA" w14:textId="17520E04" w:rsidR="00AF51F1" w:rsidRPr="005D68BA" w:rsidRDefault="008E6983">
            <w:pPr>
              <w:pStyle w:val="09-Bodytext"/>
              <w:jc w:val="right"/>
            </w:pPr>
            <w:r w:rsidRPr="005D68BA">
              <w:t>0</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6CBFF" w14:textId="77777777" w:rsidR="00AF51F1" w:rsidRPr="005D68BA" w:rsidRDefault="00711D3C">
            <w:pPr>
              <w:pStyle w:val="09-Bodytext"/>
            </w:pPr>
            <w:r w:rsidRPr="005D68BA">
              <w:t>Pension Asset</w:t>
            </w: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CA1B2" w14:textId="77777777" w:rsidR="00AF51F1" w:rsidRPr="005D68BA" w:rsidRDefault="00711D3C">
            <w:pPr>
              <w:pStyle w:val="09-Bodytext"/>
              <w:jc w:val="right"/>
            </w:pPr>
            <w:r w:rsidRPr="005D68BA">
              <w:t>1,273</w:t>
            </w:r>
          </w:p>
        </w:tc>
        <w:tc>
          <w:tcPr>
            <w:tcW w:w="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3FC02" w14:textId="77777777" w:rsidR="00AF51F1" w:rsidRPr="005D68BA" w:rsidRDefault="00711D3C">
            <w:pPr>
              <w:pStyle w:val="09-Bodytext"/>
              <w:jc w:val="center"/>
            </w:pPr>
            <w:r w:rsidRPr="005D68BA">
              <w:t>16</w:t>
            </w:r>
          </w:p>
        </w:tc>
      </w:tr>
      <w:tr w:rsidR="00AF51F1" w14:paraId="110BCF24" w14:textId="77777777">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F2D3E" w14:textId="77777777" w:rsidR="00AF51F1" w:rsidRDefault="00711D3C">
            <w:pPr>
              <w:pStyle w:val="09-Bodytext"/>
              <w:jc w:val="right"/>
              <w:rPr>
                <w:b/>
              </w:rPr>
            </w:pPr>
            <w:r>
              <w:rPr>
                <w:b/>
              </w:rPr>
              <w:t>177</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78097" w14:textId="77777777" w:rsidR="00AF51F1" w:rsidRPr="005D68BA" w:rsidRDefault="00711D3C">
            <w:pPr>
              <w:pStyle w:val="09-Bodytext"/>
            </w:pPr>
            <w:r w:rsidRPr="005D68BA">
              <w:t>Total Non-Current Assets</w:t>
            </w: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CC4E6" w14:textId="77777777" w:rsidR="00AF51F1" w:rsidRPr="005D68BA" w:rsidRDefault="00711D3C">
            <w:pPr>
              <w:pStyle w:val="09-Bodytext"/>
              <w:jc w:val="right"/>
              <w:rPr>
                <w:b/>
                <w:bCs/>
              </w:rPr>
            </w:pPr>
            <w:r w:rsidRPr="005D68BA">
              <w:rPr>
                <w:b/>
                <w:bCs/>
              </w:rPr>
              <w:t>1,429</w:t>
            </w:r>
          </w:p>
        </w:tc>
        <w:tc>
          <w:tcPr>
            <w:tcW w:w="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A6D32" w14:textId="77777777" w:rsidR="00AF51F1" w:rsidRPr="005D68BA" w:rsidRDefault="00AF51F1">
            <w:pPr>
              <w:pStyle w:val="09-Bodytext"/>
              <w:jc w:val="center"/>
            </w:pPr>
          </w:p>
        </w:tc>
      </w:tr>
      <w:tr w:rsidR="00AF51F1" w14:paraId="2586AD39" w14:textId="77777777">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63F7E" w14:textId="77777777" w:rsidR="00AF51F1" w:rsidRDefault="00AF51F1">
            <w:pPr>
              <w:pStyle w:val="09-Bodytext"/>
              <w:jc w:val="right"/>
            </w:pP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E8D15" w14:textId="77777777" w:rsidR="00AF51F1" w:rsidRDefault="00AF51F1">
            <w:pPr>
              <w:pStyle w:val="09-Bodytext"/>
            </w:pP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71CF8" w14:textId="77777777" w:rsidR="00AF51F1" w:rsidRDefault="00AF51F1">
            <w:pPr>
              <w:pStyle w:val="09-Bodytext"/>
              <w:jc w:val="right"/>
            </w:pPr>
          </w:p>
        </w:tc>
        <w:tc>
          <w:tcPr>
            <w:tcW w:w="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F34BA" w14:textId="77777777" w:rsidR="00AF51F1" w:rsidRDefault="00AF51F1">
            <w:pPr>
              <w:pStyle w:val="09-Bodytext"/>
              <w:jc w:val="center"/>
              <w:rPr>
                <w:sz w:val="20"/>
                <w:shd w:val="clear" w:color="auto" w:fill="FFFF00"/>
              </w:rPr>
            </w:pPr>
          </w:p>
        </w:tc>
      </w:tr>
      <w:tr w:rsidR="00AF51F1" w14:paraId="493BF078" w14:textId="77777777">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01B87" w14:textId="77777777" w:rsidR="00AF51F1" w:rsidRDefault="00AF51F1">
            <w:pPr>
              <w:pStyle w:val="09-Bodytext"/>
              <w:jc w:val="right"/>
            </w:pP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CF040" w14:textId="77777777" w:rsidR="00AF51F1" w:rsidRDefault="00711D3C">
            <w:pPr>
              <w:pStyle w:val="09-Bodytext"/>
              <w:rPr>
                <w:b/>
                <w:bCs/>
              </w:rPr>
            </w:pPr>
            <w:r>
              <w:rPr>
                <w:b/>
                <w:bCs/>
              </w:rPr>
              <w:t>Current Assets:</w:t>
            </w: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97170" w14:textId="77777777" w:rsidR="00AF51F1" w:rsidRDefault="00AF51F1">
            <w:pPr>
              <w:pStyle w:val="09-Bodytext"/>
              <w:jc w:val="right"/>
            </w:pPr>
          </w:p>
        </w:tc>
        <w:tc>
          <w:tcPr>
            <w:tcW w:w="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19348" w14:textId="77777777" w:rsidR="00AF51F1" w:rsidRDefault="00AF51F1">
            <w:pPr>
              <w:pStyle w:val="09-Bodytext"/>
              <w:jc w:val="center"/>
              <w:rPr>
                <w:sz w:val="20"/>
                <w:shd w:val="clear" w:color="auto" w:fill="FFFF00"/>
              </w:rPr>
            </w:pPr>
          </w:p>
        </w:tc>
      </w:tr>
      <w:tr w:rsidR="00AF51F1" w14:paraId="5CEEE233" w14:textId="77777777">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51818" w14:textId="77777777" w:rsidR="00AF51F1" w:rsidRDefault="00711D3C">
            <w:pPr>
              <w:pStyle w:val="09-Bodytext"/>
              <w:jc w:val="right"/>
            </w:pPr>
            <w:r>
              <w:t>58</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FA04CB" w14:textId="77777777" w:rsidR="00AF51F1" w:rsidRDefault="00711D3C">
            <w:pPr>
              <w:pStyle w:val="09-Bodytext"/>
            </w:pPr>
            <w:r>
              <w:t>Short Term Debtors</w:t>
            </w: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C2CE" w14:textId="77777777" w:rsidR="00AF51F1" w:rsidRDefault="00711D3C">
            <w:pPr>
              <w:pStyle w:val="09-Bodytext"/>
              <w:jc w:val="right"/>
            </w:pPr>
            <w:r>
              <w:t>72</w:t>
            </w:r>
          </w:p>
        </w:tc>
        <w:tc>
          <w:tcPr>
            <w:tcW w:w="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C1142" w14:textId="77777777" w:rsidR="00AF51F1" w:rsidRDefault="00711D3C">
            <w:pPr>
              <w:pStyle w:val="09-Bodytext"/>
              <w:jc w:val="center"/>
              <w:rPr>
                <w:sz w:val="20"/>
              </w:rPr>
            </w:pPr>
            <w:r>
              <w:rPr>
                <w:sz w:val="20"/>
              </w:rPr>
              <w:t>13</w:t>
            </w:r>
          </w:p>
        </w:tc>
      </w:tr>
      <w:tr w:rsidR="00AF51F1" w14:paraId="001DA621" w14:textId="77777777">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89478" w14:textId="77777777" w:rsidR="00AF51F1" w:rsidRDefault="00711D3C">
            <w:pPr>
              <w:pStyle w:val="09-Bodytext"/>
              <w:jc w:val="right"/>
            </w:pPr>
            <w:r>
              <w:t>1,427</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4A68B" w14:textId="77777777" w:rsidR="00AF51F1" w:rsidRDefault="00711D3C">
            <w:pPr>
              <w:pStyle w:val="09-Bodytext"/>
            </w:pPr>
            <w:r>
              <w:t>Cash and Cash Equivalents</w:t>
            </w: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6125E" w14:textId="77777777" w:rsidR="00AF51F1" w:rsidRDefault="00711D3C">
            <w:pPr>
              <w:pStyle w:val="09-Bodytext"/>
              <w:jc w:val="right"/>
            </w:pPr>
            <w:r>
              <w:t>1,542</w:t>
            </w:r>
          </w:p>
        </w:tc>
        <w:tc>
          <w:tcPr>
            <w:tcW w:w="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B5AF9" w14:textId="77777777" w:rsidR="00AF51F1" w:rsidRDefault="00AF51F1">
            <w:pPr>
              <w:pStyle w:val="09-Bodytext"/>
              <w:jc w:val="center"/>
              <w:rPr>
                <w:sz w:val="20"/>
              </w:rPr>
            </w:pPr>
          </w:p>
        </w:tc>
      </w:tr>
      <w:tr w:rsidR="00AF51F1" w14:paraId="5E30A8B9" w14:textId="77777777">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ADECA" w14:textId="77777777" w:rsidR="00AF51F1" w:rsidRDefault="00711D3C">
            <w:pPr>
              <w:pStyle w:val="09-Bodytext"/>
              <w:jc w:val="right"/>
              <w:rPr>
                <w:b/>
              </w:rPr>
            </w:pPr>
            <w:r>
              <w:rPr>
                <w:b/>
              </w:rPr>
              <w:t>1,485</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19FF8" w14:textId="77777777" w:rsidR="00AF51F1" w:rsidRDefault="00AF51F1">
            <w:pPr>
              <w:pStyle w:val="09-Bodytext"/>
              <w:rPr>
                <w:b/>
              </w:rPr>
            </w:pP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2D4EC" w14:textId="77777777" w:rsidR="00AF51F1" w:rsidRDefault="00711D3C">
            <w:pPr>
              <w:pStyle w:val="09-Bodytext"/>
              <w:jc w:val="right"/>
              <w:rPr>
                <w:b/>
              </w:rPr>
            </w:pPr>
            <w:r>
              <w:rPr>
                <w:b/>
              </w:rPr>
              <w:t>1,614</w:t>
            </w:r>
          </w:p>
        </w:tc>
        <w:tc>
          <w:tcPr>
            <w:tcW w:w="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F605C" w14:textId="77777777" w:rsidR="00AF51F1" w:rsidRDefault="00AF51F1">
            <w:pPr>
              <w:pStyle w:val="09-Bodytext"/>
              <w:jc w:val="center"/>
              <w:rPr>
                <w:sz w:val="20"/>
              </w:rPr>
            </w:pPr>
          </w:p>
        </w:tc>
      </w:tr>
      <w:tr w:rsidR="00AF51F1" w14:paraId="5990329F" w14:textId="77777777">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5B26D" w14:textId="77777777" w:rsidR="00AF51F1" w:rsidRDefault="00AF51F1">
            <w:pPr>
              <w:pStyle w:val="09-Bodytext"/>
              <w:jc w:val="right"/>
            </w:pP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AC4AF" w14:textId="77777777" w:rsidR="00AF51F1" w:rsidRDefault="00711D3C">
            <w:pPr>
              <w:pStyle w:val="09-Bodytext"/>
              <w:rPr>
                <w:b/>
                <w:bCs/>
              </w:rPr>
            </w:pPr>
            <w:r>
              <w:rPr>
                <w:b/>
                <w:bCs/>
              </w:rPr>
              <w:t>Current Liabilities:</w:t>
            </w: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8332F" w14:textId="77777777" w:rsidR="00AF51F1" w:rsidRDefault="00AF51F1">
            <w:pPr>
              <w:pStyle w:val="09-Bodytext"/>
              <w:jc w:val="right"/>
            </w:pPr>
          </w:p>
        </w:tc>
        <w:tc>
          <w:tcPr>
            <w:tcW w:w="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06219" w14:textId="77777777" w:rsidR="00AF51F1" w:rsidRDefault="00AF51F1">
            <w:pPr>
              <w:pStyle w:val="09-Bodytext"/>
              <w:jc w:val="center"/>
              <w:rPr>
                <w:sz w:val="20"/>
              </w:rPr>
            </w:pPr>
          </w:p>
        </w:tc>
      </w:tr>
      <w:tr w:rsidR="00AF51F1" w14:paraId="140F5DDE" w14:textId="77777777">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2D9ED" w14:textId="77777777" w:rsidR="00AF51F1" w:rsidRDefault="00711D3C">
            <w:pPr>
              <w:pStyle w:val="09-Bodytext"/>
              <w:jc w:val="right"/>
            </w:pPr>
            <w:r>
              <w:t>(479)</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F1C9B" w14:textId="77777777" w:rsidR="00AF51F1" w:rsidRDefault="00711D3C">
            <w:pPr>
              <w:pStyle w:val="09-Bodytext"/>
            </w:pPr>
            <w:r>
              <w:t>Short Term Creditors</w:t>
            </w: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95966" w14:textId="77777777" w:rsidR="00AF51F1" w:rsidRDefault="00711D3C">
            <w:pPr>
              <w:pStyle w:val="09-Bodytext"/>
              <w:jc w:val="right"/>
            </w:pPr>
            <w:r>
              <w:t>(225)</w:t>
            </w:r>
          </w:p>
        </w:tc>
        <w:tc>
          <w:tcPr>
            <w:tcW w:w="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777E5" w14:textId="77777777" w:rsidR="00AF51F1" w:rsidRDefault="00711D3C">
            <w:pPr>
              <w:pStyle w:val="09-Bodytext"/>
              <w:jc w:val="center"/>
              <w:rPr>
                <w:sz w:val="20"/>
              </w:rPr>
            </w:pPr>
            <w:r>
              <w:rPr>
                <w:sz w:val="20"/>
              </w:rPr>
              <w:t>14</w:t>
            </w:r>
          </w:p>
        </w:tc>
      </w:tr>
      <w:tr w:rsidR="00AF51F1" w14:paraId="4C70CD9C" w14:textId="77777777">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0C0AD" w14:textId="77777777" w:rsidR="00AF51F1" w:rsidRDefault="00711D3C">
            <w:pPr>
              <w:pStyle w:val="09-Bodytext"/>
              <w:jc w:val="right"/>
            </w:pPr>
            <w:r>
              <w:t>(479)</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C7B13" w14:textId="77777777" w:rsidR="00AF51F1" w:rsidRDefault="00711D3C">
            <w:pPr>
              <w:pStyle w:val="09-Bodytext"/>
            </w:pPr>
            <w:r>
              <w:t>Total Current Liabilities</w:t>
            </w: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A53A7" w14:textId="77777777" w:rsidR="00AF51F1" w:rsidRDefault="00711D3C">
            <w:pPr>
              <w:pStyle w:val="09-Bodytext"/>
              <w:jc w:val="right"/>
            </w:pPr>
            <w:r>
              <w:t>(225)</w:t>
            </w:r>
          </w:p>
        </w:tc>
        <w:tc>
          <w:tcPr>
            <w:tcW w:w="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82002" w14:textId="77777777" w:rsidR="00AF51F1" w:rsidRDefault="00AF51F1">
            <w:pPr>
              <w:pStyle w:val="09-Bodytext"/>
              <w:jc w:val="center"/>
              <w:rPr>
                <w:sz w:val="20"/>
              </w:rPr>
            </w:pPr>
          </w:p>
        </w:tc>
      </w:tr>
      <w:tr w:rsidR="00AF51F1" w14:paraId="50B0D673" w14:textId="77777777">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CAE31" w14:textId="77777777" w:rsidR="00AF51F1" w:rsidRDefault="00711D3C">
            <w:pPr>
              <w:pStyle w:val="09-Bodytext"/>
              <w:jc w:val="right"/>
              <w:rPr>
                <w:b/>
                <w:bCs/>
              </w:rPr>
            </w:pPr>
            <w:r>
              <w:rPr>
                <w:b/>
                <w:bCs/>
              </w:rPr>
              <w:t>1,183</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36372" w14:textId="77777777" w:rsidR="00AF51F1" w:rsidRDefault="00711D3C">
            <w:pPr>
              <w:pStyle w:val="09-Bodytext"/>
              <w:rPr>
                <w:b/>
                <w:bCs/>
              </w:rPr>
            </w:pPr>
            <w:r>
              <w:rPr>
                <w:b/>
                <w:bCs/>
              </w:rPr>
              <w:t>Total Assets less Current Liabilities</w:t>
            </w: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AD77F" w14:textId="77777777" w:rsidR="00AF51F1" w:rsidRPr="005D68BA" w:rsidRDefault="00711D3C">
            <w:pPr>
              <w:pStyle w:val="09-Bodytext"/>
              <w:jc w:val="right"/>
              <w:rPr>
                <w:b/>
                <w:bCs/>
              </w:rPr>
            </w:pPr>
            <w:r w:rsidRPr="005D68BA">
              <w:rPr>
                <w:b/>
                <w:bCs/>
              </w:rPr>
              <w:t>2,818</w:t>
            </w:r>
          </w:p>
        </w:tc>
        <w:tc>
          <w:tcPr>
            <w:tcW w:w="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9D6C4" w14:textId="77777777" w:rsidR="00AF51F1" w:rsidRDefault="00AF51F1">
            <w:pPr>
              <w:pStyle w:val="09-Bodytext"/>
              <w:jc w:val="center"/>
              <w:rPr>
                <w:sz w:val="20"/>
              </w:rPr>
            </w:pPr>
          </w:p>
        </w:tc>
      </w:tr>
      <w:tr w:rsidR="00AF51F1" w14:paraId="3555EDC2" w14:textId="77777777">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FCAED" w14:textId="77777777" w:rsidR="00AF51F1" w:rsidRDefault="00AF51F1">
            <w:pPr>
              <w:pStyle w:val="09-Bodytext"/>
              <w:jc w:val="right"/>
            </w:pP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8B512" w14:textId="77777777" w:rsidR="00AF51F1" w:rsidRDefault="00AF51F1">
            <w:pPr>
              <w:pStyle w:val="09-Bodytext"/>
            </w:pP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75E9D" w14:textId="77777777" w:rsidR="00AF51F1" w:rsidRDefault="00AF51F1">
            <w:pPr>
              <w:pStyle w:val="09-Bodytext"/>
              <w:jc w:val="right"/>
            </w:pPr>
          </w:p>
        </w:tc>
        <w:tc>
          <w:tcPr>
            <w:tcW w:w="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5763D" w14:textId="77777777" w:rsidR="00AF51F1" w:rsidRDefault="00AF51F1">
            <w:pPr>
              <w:pStyle w:val="09-Bodytext"/>
              <w:jc w:val="center"/>
              <w:rPr>
                <w:sz w:val="20"/>
              </w:rPr>
            </w:pPr>
          </w:p>
        </w:tc>
      </w:tr>
      <w:tr w:rsidR="00AF51F1" w14:paraId="5A1491D4" w14:textId="77777777">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EFF06" w14:textId="77777777" w:rsidR="00AF51F1" w:rsidRDefault="00AF51F1">
            <w:pPr>
              <w:pStyle w:val="09-Bodytext"/>
              <w:jc w:val="right"/>
            </w:pP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A50F6" w14:textId="77777777" w:rsidR="00AF51F1" w:rsidRDefault="00711D3C">
            <w:pPr>
              <w:pStyle w:val="09-Bodytext"/>
              <w:rPr>
                <w:b/>
                <w:bCs/>
              </w:rPr>
            </w:pPr>
            <w:r>
              <w:rPr>
                <w:b/>
                <w:bCs/>
              </w:rPr>
              <w:t>Long Term Liabilities</w:t>
            </w: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0C7A8" w14:textId="77777777" w:rsidR="00AF51F1" w:rsidRDefault="00AF51F1">
            <w:pPr>
              <w:pStyle w:val="09-Bodytext"/>
              <w:jc w:val="right"/>
            </w:pPr>
          </w:p>
        </w:tc>
        <w:tc>
          <w:tcPr>
            <w:tcW w:w="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84D26" w14:textId="77777777" w:rsidR="00AF51F1" w:rsidRDefault="00AF51F1">
            <w:pPr>
              <w:pStyle w:val="09-Bodytext"/>
              <w:jc w:val="center"/>
              <w:rPr>
                <w:sz w:val="20"/>
              </w:rPr>
            </w:pPr>
          </w:p>
        </w:tc>
      </w:tr>
      <w:tr w:rsidR="00AF51F1" w14:paraId="2737ED5E" w14:textId="77777777">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B68DA" w14:textId="77777777" w:rsidR="00AF51F1" w:rsidRDefault="00711D3C">
            <w:pPr>
              <w:pStyle w:val="09-Bodytext"/>
              <w:jc w:val="right"/>
            </w:pPr>
            <w:r>
              <w:t>(2,200)</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2502F" w14:textId="77777777" w:rsidR="00AF51F1" w:rsidRDefault="00711D3C">
            <w:pPr>
              <w:pStyle w:val="09-Bodytext"/>
            </w:pPr>
            <w:r>
              <w:t>Pension Liability</w:t>
            </w: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ADE82" w14:textId="18699F8E" w:rsidR="00AF51F1" w:rsidRPr="005D68BA" w:rsidRDefault="008E6983">
            <w:pPr>
              <w:pStyle w:val="09-Bodytext"/>
              <w:jc w:val="right"/>
            </w:pPr>
            <w:r w:rsidRPr="005D68BA">
              <w:t>0</w:t>
            </w:r>
          </w:p>
        </w:tc>
        <w:tc>
          <w:tcPr>
            <w:tcW w:w="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70D59" w14:textId="77777777" w:rsidR="00AF51F1" w:rsidRDefault="00711D3C">
            <w:pPr>
              <w:pStyle w:val="09-Bodytext"/>
              <w:jc w:val="center"/>
              <w:rPr>
                <w:sz w:val="20"/>
              </w:rPr>
            </w:pPr>
            <w:r>
              <w:rPr>
                <w:sz w:val="20"/>
              </w:rPr>
              <w:t>16</w:t>
            </w:r>
          </w:p>
        </w:tc>
      </w:tr>
      <w:tr w:rsidR="00AF51F1" w14:paraId="39A1C580" w14:textId="77777777">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A076A" w14:textId="77777777" w:rsidR="00AF51F1" w:rsidRDefault="00711D3C">
            <w:pPr>
              <w:pStyle w:val="09-Bodytext"/>
              <w:jc w:val="right"/>
              <w:rPr>
                <w:b/>
                <w:bCs/>
              </w:rPr>
            </w:pPr>
            <w:r>
              <w:rPr>
                <w:b/>
                <w:bCs/>
              </w:rPr>
              <w:t>(1,017)</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B464C" w14:textId="77777777" w:rsidR="00AF51F1" w:rsidRDefault="00711D3C">
            <w:pPr>
              <w:pStyle w:val="09-Bodytext"/>
              <w:rPr>
                <w:b/>
                <w:bCs/>
              </w:rPr>
            </w:pPr>
            <w:r>
              <w:rPr>
                <w:b/>
                <w:bCs/>
              </w:rPr>
              <w:t>Total Assets less Liabilities</w:t>
            </w: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4B4D1" w14:textId="77777777" w:rsidR="00AF51F1" w:rsidRDefault="00711D3C">
            <w:pPr>
              <w:pStyle w:val="09-Bodytext"/>
              <w:jc w:val="right"/>
              <w:rPr>
                <w:b/>
                <w:bCs/>
              </w:rPr>
            </w:pPr>
            <w:r>
              <w:rPr>
                <w:b/>
                <w:bCs/>
              </w:rPr>
              <w:t>2,818</w:t>
            </w:r>
          </w:p>
        </w:tc>
        <w:tc>
          <w:tcPr>
            <w:tcW w:w="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97C48" w14:textId="77777777" w:rsidR="00AF51F1" w:rsidRDefault="00AF51F1">
            <w:pPr>
              <w:pStyle w:val="09-Bodytext"/>
              <w:jc w:val="center"/>
              <w:rPr>
                <w:sz w:val="20"/>
              </w:rPr>
            </w:pPr>
          </w:p>
        </w:tc>
      </w:tr>
      <w:tr w:rsidR="00AF51F1" w14:paraId="0B83D8F8" w14:textId="77777777">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29658" w14:textId="77777777" w:rsidR="00AF51F1" w:rsidRDefault="00AF51F1">
            <w:pPr>
              <w:pStyle w:val="09-Bodytext"/>
              <w:jc w:val="right"/>
            </w:pP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E7573" w14:textId="77777777" w:rsidR="00AF51F1" w:rsidRDefault="00AF51F1">
            <w:pPr>
              <w:pStyle w:val="09-Bodytext"/>
            </w:pP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CA18E" w14:textId="77777777" w:rsidR="00AF51F1" w:rsidRDefault="00AF51F1">
            <w:pPr>
              <w:pStyle w:val="09-Bodytext"/>
              <w:jc w:val="right"/>
            </w:pPr>
          </w:p>
        </w:tc>
        <w:tc>
          <w:tcPr>
            <w:tcW w:w="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EAA31" w14:textId="77777777" w:rsidR="00AF51F1" w:rsidRDefault="00AF51F1">
            <w:pPr>
              <w:pStyle w:val="09-Bodytext"/>
              <w:jc w:val="center"/>
              <w:rPr>
                <w:sz w:val="20"/>
              </w:rPr>
            </w:pPr>
          </w:p>
        </w:tc>
      </w:tr>
      <w:tr w:rsidR="00AF51F1" w14:paraId="7CB3E923" w14:textId="77777777">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75A4A" w14:textId="77777777" w:rsidR="00AF51F1" w:rsidRDefault="00AF51F1">
            <w:pPr>
              <w:pStyle w:val="09-Bodytext"/>
              <w:jc w:val="right"/>
            </w:pP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FAB90" w14:textId="77777777" w:rsidR="00AF51F1" w:rsidRDefault="00711D3C">
            <w:pPr>
              <w:pStyle w:val="09-Bodytext"/>
              <w:rPr>
                <w:b/>
                <w:bCs/>
              </w:rPr>
            </w:pPr>
            <w:r>
              <w:rPr>
                <w:b/>
                <w:bCs/>
              </w:rPr>
              <w:t>Financed By:</w:t>
            </w: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5959F" w14:textId="77777777" w:rsidR="00AF51F1" w:rsidRDefault="00AF51F1">
            <w:pPr>
              <w:pStyle w:val="09-Bodytext"/>
              <w:jc w:val="right"/>
            </w:pPr>
          </w:p>
        </w:tc>
        <w:tc>
          <w:tcPr>
            <w:tcW w:w="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9B43B" w14:textId="77777777" w:rsidR="00AF51F1" w:rsidRDefault="00AF51F1">
            <w:pPr>
              <w:pStyle w:val="09-Bodytext"/>
              <w:jc w:val="center"/>
              <w:rPr>
                <w:sz w:val="20"/>
              </w:rPr>
            </w:pPr>
          </w:p>
        </w:tc>
      </w:tr>
      <w:tr w:rsidR="00AF51F1" w14:paraId="3B4B6F1E" w14:textId="77777777">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3DC47" w14:textId="77777777" w:rsidR="00AF51F1" w:rsidRDefault="00AF51F1">
            <w:pPr>
              <w:pStyle w:val="09-Bodytext"/>
              <w:jc w:val="right"/>
            </w:pP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64D4F" w14:textId="77777777" w:rsidR="00AF51F1" w:rsidRDefault="00711D3C">
            <w:pPr>
              <w:pStyle w:val="09-Bodytext"/>
              <w:rPr>
                <w:b/>
                <w:bCs/>
              </w:rPr>
            </w:pPr>
            <w:r>
              <w:rPr>
                <w:b/>
                <w:bCs/>
              </w:rPr>
              <w:t>Unusable Reserves</w:t>
            </w: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0AE69" w14:textId="77777777" w:rsidR="00AF51F1" w:rsidRDefault="00AF51F1">
            <w:pPr>
              <w:pStyle w:val="09-Bodytext"/>
              <w:jc w:val="right"/>
            </w:pPr>
          </w:p>
        </w:tc>
        <w:tc>
          <w:tcPr>
            <w:tcW w:w="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FBC65" w14:textId="77777777" w:rsidR="00AF51F1" w:rsidRDefault="00AF51F1">
            <w:pPr>
              <w:pStyle w:val="09-Bodytext"/>
              <w:jc w:val="center"/>
              <w:rPr>
                <w:sz w:val="20"/>
              </w:rPr>
            </w:pPr>
          </w:p>
        </w:tc>
      </w:tr>
      <w:tr w:rsidR="00AF51F1" w14:paraId="12BC4278" w14:textId="77777777">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2B8A0" w14:textId="77777777" w:rsidR="00AF51F1" w:rsidRDefault="00711D3C">
            <w:pPr>
              <w:pStyle w:val="09-Bodytext"/>
              <w:jc w:val="right"/>
            </w:pPr>
            <w:r>
              <w:t>(2,200)</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1AD17" w14:textId="77777777" w:rsidR="00AF51F1" w:rsidRDefault="00711D3C">
            <w:pPr>
              <w:pStyle w:val="09-Bodytext"/>
            </w:pPr>
            <w:r>
              <w:t>Pension Reserve</w:t>
            </w: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A1276" w14:textId="77777777" w:rsidR="00AF51F1" w:rsidRDefault="00711D3C">
            <w:pPr>
              <w:pStyle w:val="09-Bodytext"/>
              <w:jc w:val="right"/>
            </w:pPr>
            <w:r>
              <w:t>1,273</w:t>
            </w:r>
          </w:p>
        </w:tc>
        <w:tc>
          <w:tcPr>
            <w:tcW w:w="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3212B" w14:textId="77777777" w:rsidR="00AF51F1" w:rsidRDefault="00711D3C">
            <w:pPr>
              <w:pStyle w:val="09-Bodytext"/>
              <w:jc w:val="center"/>
              <w:rPr>
                <w:sz w:val="20"/>
              </w:rPr>
            </w:pPr>
            <w:r>
              <w:rPr>
                <w:sz w:val="20"/>
              </w:rPr>
              <w:t>19</w:t>
            </w:r>
          </w:p>
        </w:tc>
      </w:tr>
      <w:tr w:rsidR="00AF51F1" w14:paraId="1120C9BC" w14:textId="77777777">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EB2E2" w14:textId="77777777" w:rsidR="00AF51F1" w:rsidRDefault="00711D3C">
            <w:pPr>
              <w:pStyle w:val="09-Bodytext"/>
              <w:jc w:val="right"/>
            </w:pPr>
            <w:r>
              <w:t>(121)</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17844" w14:textId="77777777" w:rsidR="00AF51F1" w:rsidRDefault="00711D3C">
            <w:pPr>
              <w:pStyle w:val="09-Bodytext"/>
            </w:pPr>
            <w:r>
              <w:t>Accumulating Compensated Absences Reserve</w:t>
            </w: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FC5B0" w14:textId="77777777" w:rsidR="00AF51F1" w:rsidRDefault="00711D3C">
            <w:pPr>
              <w:pStyle w:val="09-Bodytext"/>
              <w:jc w:val="right"/>
            </w:pPr>
            <w:r>
              <w:t>(90)</w:t>
            </w:r>
          </w:p>
        </w:tc>
        <w:tc>
          <w:tcPr>
            <w:tcW w:w="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FA383" w14:textId="77777777" w:rsidR="00AF51F1" w:rsidRDefault="00711D3C">
            <w:pPr>
              <w:pStyle w:val="09-Bodytext"/>
              <w:jc w:val="center"/>
              <w:rPr>
                <w:sz w:val="20"/>
              </w:rPr>
            </w:pPr>
            <w:r>
              <w:rPr>
                <w:sz w:val="20"/>
              </w:rPr>
              <w:t>19</w:t>
            </w:r>
          </w:p>
        </w:tc>
      </w:tr>
      <w:tr w:rsidR="00AF51F1" w14:paraId="71EAE37B" w14:textId="77777777">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7EF90" w14:textId="77777777" w:rsidR="00AF51F1" w:rsidRDefault="00711D3C">
            <w:pPr>
              <w:pStyle w:val="09-Bodytext"/>
              <w:jc w:val="right"/>
            </w:pPr>
            <w:r>
              <w:t>177</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E3EFB" w14:textId="77777777" w:rsidR="00AF51F1" w:rsidRDefault="00711D3C">
            <w:pPr>
              <w:pStyle w:val="09-Bodytext"/>
            </w:pPr>
            <w:r>
              <w:t>Capital Adjustment Account</w:t>
            </w: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2EA97" w14:textId="77777777" w:rsidR="00AF51F1" w:rsidRDefault="00711D3C">
            <w:pPr>
              <w:pStyle w:val="09-Bodytext"/>
              <w:jc w:val="right"/>
            </w:pPr>
            <w:r>
              <w:t>156</w:t>
            </w:r>
          </w:p>
        </w:tc>
        <w:tc>
          <w:tcPr>
            <w:tcW w:w="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E80AB" w14:textId="77777777" w:rsidR="00AF51F1" w:rsidRDefault="00711D3C">
            <w:pPr>
              <w:pStyle w:val="09-Bodytext"/>
              <w:jc w:val="center"/>
              <w:rPr>
                <w:sz w:val="20"/>
              </w:rPr>
            </w:pPr>
            <w:r>
              <w:rPr>
                <w:sz w:val="20"/>
              </w:rPr>
              <w:t>19</w:t>
            </w:r>
          </w:p>
        </w:tc>
      </w:tr>
      <w:tr w:rsidR="00AF51F1" w14:paraId="6D6C3E38" w14:textId="77777777">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5CAD6" w14:textId="77777777" w:rsidR="00AF51F1" w:rsidRDefault="00AF51F1">
            <w:pPr>
              <w:pStyle w:val="09-Bodytext"/>
              <w:jc w:val="right"/>
            </w:pP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355F9" w14:textId="77777777" w:rsidR="00AF51F1" w:rsidRDefault="00711D3C">
            <w:pPr>
              <w:pStyle w:val="09-Bodytext"/>
              <w:rPr>
                <w:b/>
                <w:bCs/>
              </w:rPr>
            </w:pPr>
            <w:r>
              <w:rPr>
                <w:b/>
                <w:bCs/>
              </w:rPr>
              <w:t>Usable Reserves</w:t>
            </w: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61051" w14:textId="77777777" w:rsidR="00AF51F1" w:rsidRDefault="00AF51F1">
            <w:pPr>
              <w:pStyle w:val="09-Bodytext"/>
              <w:jc w:val="right"/>
            </w:pPr>
          </w:p>
        </w:tc>
        <w:tc>
          <w:tcPr>
            <w:tcW w:w="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CCB9F" w14:textId="77777777" w:rsidR="00AF51F1" w:rsidRDefault="00AF51F1">
            <w:pPr>
              <w:pStyle w:val="09-Bodytext"/>
              <w:jc w:val="center"/>
              <w:rPr>
                <w:sz w:val="20"/>
              </w:rPr>
            </w:pPr>
          </w:p>
        </w:tc>
      </w:tr>
      <w:tr w:rsidR="00AF51F1" w14:paraId="17788ABC" w14:textId="77777777">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BD1AB" w14:textId="77777777" w:rsidR="00AF51F1" w:rsidRDefault="00711D3C">
            <w:pPr>
              <w:pStyle w:val="09-Bodytext"/>
              <w:jc w:val="right"/>
            </w:pPr>
            <w:r>
              <w:t>1,127</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7798B" w14:textId="77777777" w:rsidR="00AF51F1" w:rsidRDefault="00711D3C">
            <w:pPr>
              <w:pStyle w:val="09-Bodytext"/>
            </w:pPr>
            <w:r>
              <w:t>General Fund Reserve</w:t>
            </w: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E9D0A" w14:textId="77777777" w:rsidR="00AF51F1" w:rsidRDefault="00711D3C">
            <w:pPr>
              <w:pStyle w:val="09-Bodytext"/>
              <w:jc w:val="right"/>
            </w:pPr>
            <w:r>
              <w:t>1,479</w:t>
            </w:r>
          </w:p>
        </w:tc>
        <w:tc>
          <w:tcPr>
            <w:tcW w:w="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B76C7" w14:textId="77777777" w:rsidR="00AF51F1" w:rsidRDefault="00711D3C">
            <w:pPr>
              <w:pStyle w:val="09-Bodytext"/>
              <w:jc w:val="center"/>
              <w:rPr>
                <w:sz w:val="20"/>
              </w:rPr>
            </w:pPr>
            <w:r>
              <w:rPr>
                <w:sz w:val="20"/>
              </w:rPr>
              <w:t>19</w:t>
            </w:r>
          </w:p>
        </w:tc>
      </w:tr>
      <w:tr w:rsidR="00AF51F1" w14:paraId="65B2E5BB" w14:textId="77777777">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F0AFE" w14:textId="77777777" w:rsidR="00AF51F1" w:rsidRDefault="00711D3C">
            <w:pPr>
              <w:pStyle w:val="09-Bodytext"/>
              <w:jc w:val="right"/>
              <w:rPr>
                <w:b/>
                <w:bCs/>
              </w:rPr>
            </w:pPr>
            <w:r>
              <w:rPr>
                <w:b/>
                <w:bCs/>
              </w:rPr>
              <w:t>(1,017)</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56AB1" w14:textId="77777777" w:rsidR="00AF51F1" w:rsidRDefault="00AF51F1">
            <w:pPr>
              <w:pStyle w:val="09-Bodytext"/>
              <w:rPr>
                <w:b/>
                <w:bCs/>
              </w:rPr>
            </w:pP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AFFE4" w14:textId="77777777" w:rsidR="00AF51F1" w:rsidRDefault="00711D3C">
            <w:pPr>
              <w:pStyle w:val="09-Bodytext"/>
              <w:jc w:val="right"/>
              <w:rPr>
                <w:b/>
                <w:bCs/>
              </w:rPr>
            </w:pPr>
            <w:r>
              <w:rPr>
                <w:b/>
                <w:bCs/>
              </w:rPr>
              <w:t>2,818</w:t>
            </w:r>
          </w:p>
        </w:tc>
        <w:tc>
          <w:tcPr>
            <w:tcW w:w="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77D69" w14:textId="77777777" w:rsidR="00AF51F1" w:rsidRDefault="00AF51F1">
            <w:pPr>
              <w:pStyle w:val="09-Bodytext"/>
              <w:jc w:val="center"/>
              <w:rPr>
                <w:sz w:val="20"/>
                <w:shd w:val="clear" w:color="auto" w:fill="FFFF00"/>
              </w:rPr>
            </w:pPr>
          </w:p>
        </w:tc>
      </w:tr>
    </w:tbl>
    <w:p w14:paraId="1B2426CE" w14:textId="77777777" w:rsidR="00AF51F1" w:rsidRDefault="00AF51F1">
      <w:pPr>
        <w:pStyle w:val="09-Bodytext"/>
        <w:rPr>
          <w:shd w:val="clear" w:color="auto" w:fill="FFFF00"/>
        </w:rPr>
      </w:pPr>
    </w:p>
    <w:p w14:paraId="54F16794" w14:textId="37C9F23F" w:rsidR="00AF51F1" w:rsidRDefault="00711D3C">
      <w:pPr>
        <w:pStyle w:val="09-Bodytext"/>
      </w:pPr>
      <w:r>
        <w:t>The notes on pages 2</w:t>
      </w:r>
      <w:r w:rsidR="00CF09F9">
        <w:t>7</w:t>
      </w:r>
      <w:r>
        <w:t xml:space="preserve"> to 4</w:t>
      </w:r>
      <w:r w:rsidR="00CF09F9">
        <w:t>2</w:t>
      </w:r>
      <w:r>
        <w:t xml:space="preserve"> form part of the financial statements.</w:t>
      </w:r>
    </w:p>
    <w:p w14:paraId="4C1F8230" w14:textId="77777777" w:rsidR="00AF51F1" w:rsidRDefault="00AF51F1">
      <w:pPr>
        <w:pStyle w:val="09-Bodytext"/>
      </w:pPr>
    </w:p>
    <w:p w14:paraId="6FD25B14" w14:textId="77777777" w:rsidR="00AF51F1" w:rsidRDefault="00711D3C">
      <w:pPr>
        <w:pStyle w:val="09-Bodytext"/>
      </w:pPr>
      <w:r>
        <w:t xml:space="preserve">The unaudited accounts were approved for issue by the Board on 27 June 2022, and the audited accounts were authorised for issue on 5 September 2022.  The audited accounts are signed on behalf of the Board by: </w:t>
      </w:r>
    </w:p>
    <w:p w14:paraId="4C15BAE1" w14:textId="36B834FE" w:rsidR="00AF51F1" w:rsidRDefault="003F400D">
      <w:pPr>
        <w:pStyle w:val="09-Bodytext"/>
        <w:rPr>
          <w:lang w:eastAsia="en-GB"/>
        </w:rPr>
      </w:pPr>
      <w:r>
        <w:rPr>
          <w:noProof/>
        </w:rPr>
        <w:drawing>
          <wp:inline distT="0" distB="0" distL="0" distR="0" wp14:anchorId="53D5D501" wp14:editId="35984988">
            <wp:extent cx="2495550" cy="720937"/>
            <wp:effectExtent l="0" t="0" r="0" b="3175"/>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51630" cy="737138"/>
                    </a:xfrm>
                    <a:prstGeom prst="rect">
                      <a:avLst/>
                    </a:prstGeom>
                  </pic:spPr>
                </pic:pic>
              </a:graphicData>
            </a:graphic>
          </wp:inline>
        </w:drawing>
      </w:r>
    </w:p>
    <w:p w14:paraId="28F9039B" w14:textId="77777777" w:rsidR="00AF51F1" w:rsidRDefault="00711D3C">
      <w:pPr>
        <w:pStyle w:val="09-Bodytext"/>
        <w:rPr>
          <w:b/>
          <w:bCs/>
        </w:rPr>
      </w:pPr>
      <w:r>
        <w:rPr>
          <w:b/>
          <w:bCs/>
        </w:rPr>
        <w:t>Paul Manning</w:t>
      </w:r>
    </w:p>
    <w:p w14:paraId="740C10C5" w14:textId="77777777" w:rsidR="00AF51F1" w:rsidRDefault="00711D3C">
      <w:pPr>
        <w:pStyle w:val="09-Bodytext"/>
        <w:rPr>
          <w:b/>
          <w:bCs/>
        </w:rPr>
      </w:pPr>
      <w:r>
        <w:rPr>
          <w:b/>
          <w:bCs/>
        </w:rPr>
        <w:t>Treasurer of Lanarkshire Valuation Joint Board</w:t>
      </w:r>
    </w:p>
    <w:p w14:paraId="0DEC5001" w14:textId="77777777" w:rsidR="00AF51F1" w:rsidRDefault="00711D3C">
      <w:pPr>
        <w:pStyle w:val="09-Bodytext"/>
        <w:rPr>
          <w:b/>
          <w:bCs/>
        </w:rPr>
      </w:pPr>
      <w:r>
        <w:rPr>
          <w:b/>
          <w:bCs/>
        </w:rPr>
        <w:t>5 September 2022</w:t>
      </w:r>
    </w:p>
    <w:p w14:paraId="6B893BB5" w14:textId="7F6586E0" w:rsidR="005351E2" w:rsidRDefault="005351E2">
      <w:pPr>
        <w:suppressAutoHyphens w:val="0"/>
        <w:rPr>
          <w:rFonts w:cs="Arial"/>
          <w:b/>
          <w:sz w:val="22"/>
          <w:szCs w:val="22"/>
        </w:rPr>
      </w:pPr>
      <w:r>
        <w:rPr>
          <w:rFonts w:cs="Arial"/>
          <w:b/>
          <w:sz w:val="22"/>
          <w:szCs w:val="22"/>
        </w:rPr>
        <w:br w:type="page"/>
      </w:r>
    </w:p>
    <w:p w14:paraId="0AC4849F" w14:textId="538929F0" w:rsidR="00AF51F1" w:rsidRDefault="005351E2">
      <w:pPr>
        <w:pStyle w:val="Heading2"/>
        <w:rPr>
          <w:sz w:val="22"/>
          <w:szCs w:val="22"/>
        </w:rPr>
      </w:pPr>
      <w:r>
        <w:rPr>
          <w:sz w:val="22"/>
          <w:szCs w:val="22"/>
        </w:rPr>
        <w:lastRenderedPageBreak/>
        <w:t>M</w:t>
      </w:r>
      <w:r w:rsidR="00711D3C">
        <w:rPr>
          <w:sz w:val="22"/>
          <w:szCs w:val="22"/>
        </w:rPr>
        <w:t>ovement in Reserves Statement for the year ended 31 March 2022</w:t>
      </w:r>
    </w:p>
    <w:p w14:paraId="30207099" w14:textId="77777777" w:rsidR="00AF51F1" w:rsidRDefault="00AF51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2"/>
          <w:szCs w:val="22"/>
        </w:rPr>
      </w:pPr>
    </w:p>
    <w:p w14:paraId="678C7732" w14:textId="33D59C7C" w:rsidR="00AF51F1" w:rsidRDefault="00711D3C">
      <w:pPr>
        <w:pStyle w:val="09-Bodytext"/>
      </w:pPr>
      <w:r>
        <w:t>This statement shows the movement in the year on the different reserves held by the Board, analysed into usable reserves and unusable reserves.  The deficit on the provision of services shows the true economic cost of providing the Board’s services, which is fully analysed in the Comprehensive Income and Expenditure Statement on page 2</w:t>
      </w:r>
      <w:r w:rsidR="00CF09F9">
        <w:t>1</w:t>
      </w:r>
      <w:r>
        <w:t xml:space="preserve">.  This cost excludes other statutory charges to the General Fund balance.  The net increase / (decrease) before transfers to / from other statutory reserves shows the statutory General Fund balance before any discretionary transfers to or from the other statutory reserves of the Board. </w:t>
      </w:r>
    </w:p>
    <w:p w14:paraId="12C59C4C" w14:textId="77777777" w:rsidR="00AF51F1" w:rsidRDefault="00AF51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2"/>
          <w:szCs w:val="22"/>
          <w:shd w:val="clear" w:color="auto" w:fill="FFFF00"/>
        </w:rPr>
      </w:pPr>
    </w:p>
    <w:tbl>
      <w:tblPr>
        <w:tblW w:w="9016" w:type="dxa"/>
        <w:tblCellMar>
          <w:left w:w="10" w:type="dxa"/>
          <w:right w:w="10" w:type="dxa"/>
        </w:tblCellMar>
        <w:tblLook w:val="0000" w:firstRow="0" w:lastRow="0" w:firstColumn="0" w:lastColumn="0" w:noHBand="0" w:noVBand="0"/>
      </w:tblPr>
      <w:tblGrid>
        <w:gridCol w:w="3256"/>
        <w:gridCol w:w="1440"/>
        <w:gridCol w:w="1440"/>
        <w:gridCol w:w="1440"/>
        <w:gridCol w:w="1440"/>
      </w:tblGrid>
      <w:tr w:rsidR="00AF51F1" w14:paraId="5221467F" w14:textId="77777777">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9CF00" w14:textId="77777777" w:rsidR="00AF51F1" w:rsidRDefault="00AF51F1">
            <w:pPr>
              <w:pStyle w:val="09-Bodytext"/>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7001B" w14:textId="77777777" w:rsidR="00AF51F1" w:rsidRDefault="00711D3C">
            <w:pPr>
              <w:pStyle w:val="09-Bodytext"/>
              <w:jc w:val="right"/>
            </w:pPr>
            <w:r>
              <w:t>General Fund Balance</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BBBC3" w14:textId="77777777" w:rsidR="00AF51F1" w:rsidRDefault="00711D3C">
            <w:pPr>
              <w:pStyle w:val="09-Bodytext"/>
              <w:jc w:val="right"/>
              <w:rPr>
                <w:b/>
              </w:rPr>
            </w:pPr>
            <w:r>
              <w:rPr>
                <w:b/>
              </w:rPr>
              <w:t>Total Usable Reserves</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F0B46" w14:textId="77777777" w:rsidR="00AF51F1" w:rsidRDefault="00711D3C">
            <w:pPr>
              <w:pStyle w:val="09-Bodytext"/>
              <w:jc w:val="right"/>
            </w:pPr>
            <w:r>
              <w:t>Unusable Reserves</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03155" w14:textId="77777777" w:rsidR="00AF51F1" w:rsidRDefault="00711D3C">
            <w:pPr>
              <w:pStyle w:val="09-Bodytext"/>
              <w:jc w:val="right"/>
              <w:rPr>
                <w:b/>
              </w:rPr>
            </w:pPr>
            <w:r>
              <w:rPr>
                <w:b/>
              </w:rPr>
              <w:t>Total Reserves</w:t>
            </w:r>
          </w:p>
        </w:tc>
      </w:tr>
      <w:tr w:rsidR="00AF51F1" w14:paraId="1BA35CC3" w14:textId="77777777">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A4DF3" w14:textId="77777777" w:rsidR="00AF51F1" w:rsidRDefault="00AF51F1">
            <w:pPr>
              <w:pStyle w:val="09-Bodytext"/>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D5EFB" w14:textId="77777777" w:rsidR="00AF51F1" w:rsidRDefault="00711D3C">
            <w:pPr>
              <w:pStyle w:val="09-Bodytext"/>
              <w:jc w:val="right"/>
            </w:pPr>
            <w:r>
              <w:t>£000</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1BF1D" w14:textId="77777777" w:rsidR="00AF51F1" w:rsidRDefault="00711D3C">
            <w:pPr>
              <w:pStyle w:val="09-Bodytext"/>
              <w:jc w:val="right"/>
              <w:rPr>
                <w:b/>
              </w:rPr>
            </w:pPr>
            <w:r>
              <w:rPr>
                <w:b/>
              </w:rPr>
              <w:t>£000</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DA629" w14:textId="77777777" w:rsidR="00AF51F1" w:rsidRDefault="00711D3C">
            <w:pPr>
              <w:pStyle w:val="09-Bodytext"/>
              <w:jc w:val="right"/>
            </w:pPr>
            <w:r>
              <w:t>£000</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C3895" w14:textId="77777777" w:rsidR="00AF51F1" w:rsidRDefault="00711D3C">
            <w:pPr>
              <w:pStyle w:val="09-Bodytext"/>
              <w:jc w:val="right"/>
              <w:rPr>
                <w:b/>
              </w:rPr>
            </w:pPr>
            <w:r>
              <w:rPr>
                <w:b/>
              </w:rPr>
              <w:t>£000</w:t>
            </w:r>
          </w:p>
        </w:tc>
      </w:tr>
      <w:tr w:rsidR="00AF51F1" w14:paraId="06E7C884" w14:textId="77777777">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A53E5" w14:textId="77777777" w:rsidR="00AF51F1" w:rsidRDefault="00711D3C">
            <w:pPr>
              <w:pStyle w:val="09-Bodytext"/>
              <w:rPr>
                <w:b/>
              </w:rPr>
            </w:pPr>
            <w:r>
              <w:rPr>
                <w:b/>
              </w:rPr>
              <w:t xml:space="preserve">Balance </w:t>
            </w:r>
            <w:proofErr w:type="gramStart"/>
            <w:r>
              <w:rPr>
                <w:b/>
              </w:rPr>
              <w:t>at</w:t>
            </w:r>
            <w:proofErr w:type="gramEnd"/>
            <w:r>
              <w:rPr>
                <w:b/>
              </w:rPr>
              <w:t xml:space="preserve"> 31 March 2021</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154BB" w14:textId="77777777" w:rsidR="00AF51F1" w:rsidRDefault="00711D3C">
            <w:pPr>
              <w:pStyle w:val="09-Bodytext"/>
              <w:jc w:val="right"/>
              <w:rPr>
                <w:b/>
              </w:rPr>
            </w:pPr>
            <w:r>
              <w:rPr>
                <w:b/>
              </w:rPr>
              <w:t>1,127</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C49ED" w14:textId="77777777" w:rsidR="00AF51F1" w:rsidRDefault="00711D3C">
            <w:pPr>
              <w:pStyle w:val="09-Bodytext"/>
              <w:jc w:val="right"/>
              <w:rPr>
                <w:b/>
              </w:rPr>
            </w:pPr>
            <w:r>
              <w:rPr>
                <w:b/>
              </w:rPr>
              <w:t>1,127</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CC138" w14:textId="77777777" w:rsidR="00AF51F1" w:rsidRDefault="00711D3C">
            <w:pPr>
              <w:pStyle w:val="09-Bodytext"/>
              <w:jc w:val="right"/>
              <w:rPr>
                <w:b/>
              </w:rPr>
            </w:pPr>
            <w:r>
              <w:rPr>
                <w:b/>
              </w:rPr>
              <w:t>(2,144)</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D5D0F" w14:textId="77777777" w:rsidR="00AF51F1" w:rsidRDefault="00711D3C">
            <w:pPr>
              <w:pStyle w:val="09-Bodytext"/>
              <w:jc w:val="right"/>
              <w:rPr>
                <w:b/>
              </w:rPr>
            </w:pPr>
            <w:r>
              <w:rPr>
                <w:b/>
              </w:rPr>
              <w:t>(1,017)</w:t>
            </w:r>
          </w:p>
        </w:tc>
      </w:tr>
      <w:tr w:rsidR="00AF51F1" w14:paraId="64E40C56" w14:textId="77777777">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42F0C" w14:textId="77777777" w:rsidR="00AF51F1" w:rsidRDefault="00711D3C">
            <w:pPr>
              <w:pStyle w:val="09-Bodytext"/>
              <w:rPr>
                <w:b/>
              </w:rPr>
            </w:pPr>
            <w:r>
              <w:rPr>
                <w:b/>
              </w:rPr>
              <w:t>Movement in Reserves during 2021/2022</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D9097" w14:textId="77777777" w:rsidR="00AF51F1" w:rsidRDefault="00AF51F1">
            <w:pPr>
              <w:pStyle w:val="09-Bodytext"/>
              <w:jc w:val="right"/>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0B14C" w14:textId="77777777" w:rsidR="00AF51F1" w:rsidRDefault="00AF51F1">
            <w:pPr>
              <w:pStyle w:val="09-Bodytext"/>
              <w:jc w:val="right"/>
              <w:rPr>
                <w:b/>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E6C2E" w14:textId="77777777" w:rsidR="00AF51F1" w:rsidRDefault="00AF51F1">
            <w:pPr>
              <w:pStyle w:val="09-Bodytext"/>
              <w:jc w:val="right"/>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8E3B2" w14:textId="77777777" w:rsidR="00AF51F1" w:rsidRDefault="00AF51F1">
            <w:pPr>
              <w:pStyle w:val="09-Bodytext"/>
              <w:jc w:val="right"/>
              <w:rPr>
                <w:b/>
              </w:rPr>
            </w:pPr>
          </w:p>
        </w:tc>
      </w:tr>
      <w:tr w:rsidR="00AF51F1" w14:paraId="7624184B" w14:textId="77777777">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A35EE" w14:textId="77777777" w:rsidR="00AF51F1" w:rsidRDefault="00711D3C">
            <w:pPr>
              <w:pStyle w:val="09-Bodytext"/>
            </w:pPr>
            <w:r>
              <w:t>Surplus on the provision of services</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3BA82" w14:textId="77777777" w:rsidR="00AF51F1" w:rsidRDefault="00711D3C">
            <w:pPr>
              <w:pStyle w:val="09-Bodytext"/>
              <w:jc w:val="right"/>
            </w:pPr>
            <w:r>
              <w:t>(363)</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6FF44" w14:textId="77777777" w:rsidR="00AF51F1" w:rsidRDefault="00711D3C">
            <w:pPr>
              <w:pStyle w:val="09-Bodytext"/>
              <w:jc w:val="right"/>
              <w:rPr>
                <w:b/>
              </w:rPr>
            </w:pPr>
            <w:r>
              <w:rPr>
                <w:b/>
              </w:rPr>
              <w:t>(363)</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BBF13" w14:textId="77777777" w:rsidR="00AF51F1" w:rsidRDefault="00711D3C">
            <w:pPr>
              <w:pStyle w:val="09-Bodytext"/>
              <w:jc w:val="right"/>
            </w:pPr>
            <w:r>
              <w:t>-</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E20FB" w14:textId="77777777" w:rsidR="00AF51F1" w:rsidRDefault="00711D3C">
            <w:pPr>
              <w:pStyle w:val="09-Bodytext"/>
              <w:jc w:val="right"/>
              <w:rPr>
                <w:b/>
              </w:rPr>
            </w:pPr>
            <w:r>
              <w:rPr>
                <w:b/>
              </w:rPr>
              <w:t>(363)</w:t>
            </w:r>
          </w:p>
        </w:tc>
      </w:tr>
      <w:tr w:rsidR="00AF51F1" w14:paraId="792DC1D3" w14:textId="77777777">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4F0A7" w14:textId="77777777" w:rsidR="00AF51F1" w:rsidRDefault="00711D3C">
            <w:pPr>
              <w:pStyle w:val="09-Bodytext"/>
            </w:pPr>
            <w:r>
              <w:t>Other comprehensive income and expenditure</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116CD" w14:textId="77777777" w:rsidR="00AF51F1" w:rsidRDefault="00711D3C">
            <w:pPr>
              <w:pStyle w:val="09-Bodytext"/>
              <w:jc w:val="right"/>
            </w:pPr>
            <w:r>
              <w:t>-</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49209" w14:textId="77777777" w:rsidR="00AF51F1" w:rsidRDefault="00711D3C">
            <w:pPr>
              <w:pStyle w:val="09-Bodytext"/>
              <w:jc w:val="right"/>
              <w:rPr>
                <w:b/>
              </w:rPr>
            </w:pPr>
            <w:r>
              <w:rPr>
                <w:b/>
              </w:rPr>
              <w:t>-</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33BC2" w14:textId="77777777" w:rsidR="00AF51F1" w:rsidRDefault="00711D3C">
            <w:pPr>
              <w:pStyle w:val="09-Bodytext"/>
              <w:jc w:val="right"/>
            </w:pPr>
            <w:r>
              <w:t>4,198</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D86F2C" w14:textId="77777777" w:rsidR="00AF51F1" w:rsidRDefault="00711D3C">
            <w:pPr>
              <w:pStyle w:val="09-Bodytext"/>
              <w:jc w:val="right"/>
              <w:rPr>
                <w:b/>
              </w:rPr>
            </w:pPr>
            <w:r>
              <w:rPr>
                <w:b/>
              </w:rPr>
              <w:t>4,198</w:t>
            </w:r>
          </w:p>
        </w:tc>
      </w:tr>
      <w:tr w:rsidR="00AF51F1" w14:paraId="6F9821E8" w14:textId="77777777">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1A97F" w14:textId="77777777" w:rsidR="00AF51F1" w:rsidRDefault="00711D3C">
            <w:pPr>
              <w:pStyle w:val="09-Bodytext"/>
              <w:rPr>
                <w:b/>
              </w:rPr>
            </w:pPr>
            <w:r>
              <w:rPr>
                <w:b/>
              </w:rPr>
              <w:t>Total comprehensive income and expenditure</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05212" w14:textId="77777777" w:rsidR="00AF51F1" w:rsidRDefault="00711D3C">
            <w:pPr>
              <w:pStyle w:val="09-Bodytext"/>
              <w:jc w:val="right"/>
              <w:rPr>
                <w:b/>
              </w:rPr>
            </w:pPr>
            <w:r>
              <w:rPr>
                <w:b/>
              </w:rPr>
              <w:t>(363)</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9236E" w14:textId="77777777" w:rsidR="00AF51F1" w:rsidRDefault="00711D3C">
            <w:pPr>
              <w:pStyle w:val="09-Bodytext"/>
              <w:jc w:val="right"/>
              <w:rPr>
                <w:b/>
              </w:rPr>
            </w:pPr>
            <w:r>
              <w:rPr>
                <w:b/>
              </w:rPr>
              <w:t>(363)</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0F0DB" w14:textId="77777777" w:rsidR="00AF51F1" w:rsidRDefault="00711D3C">
            <w:pPr>
              <w:pStyle w:val="09-Bodytext"/>
              <w:jc w:val="right"/>
              <w:rPr>
                <w:b/>
              </w:rPr>
            </w:pPr>
            <w:r>
              <w:rPr>
                <w:b/>
              </w:rPr>
              <w:t>4,198</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4CD63" w14:textId="77777777" w:rsidR="00AF51F1" w:rsidRDefault="00711D3C">
            <w:pPr>
              <w:pStyle w:val="09-Bodytext"/>
              <w:jc w:val="right"/>
              <w:rPr>
                <w:b/>
              </w:rPr>
            </w:pPr>
            <w:r>
              <w:rPr>
                <w:b/>
              </w:rPr>
              <w:t>3,835</w:t>
            </w:r>
          </w:p>
        </w:tc>
      </w:tr>
      <w:tr w:rsidR="00AF51F1" w14:paraId="5FABE4C2" w14:textId="77777777">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9C468" w14:textId="77777777" w:rsidR="00AF51F1" w:rsidRDefault="00711D3C">
            <w:pPr>
              <w:pStyle w:val="09-Bodytext"/>
            </w:pPr>
            <w:r>
              <w:t>Adjustments between accounting basis and funding basis (note 5)</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09ED4" w14:textId="77777777" w:rsidR="00AF51F1" w:rsidRDefault="00711D3C">
            <w:pPr>
              <w:pStyle w:val="09-Bodytext"/>
              <w:jc w:val="right"/>
            </w:pPr>
            <w:r>
              <w:t>715</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9E4B5" w14:textId="77777777" w:rsidR="00AF51F1" w:rsidRDefault="00711D3C">
            <w:pPr>
              <w:pStyle w:val="09-Bodytext"/>
              <w:jc w:val="right"/>
              <w:rPr>
                <w:b/>
              </w:rPr>
            </w:pPr>
            <w:r>
              <w:rPr>
                <w:b/>
              </w:rPr>
              <w:t>715</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7EEB6" w14:textId="77777777" w:rsidR="00AF51F1" w:rsidRDefault="00711D3C">
            <w:pPr>
              <w:pStyle w:val="09-Bodytext"/>
              <w:jc w:val="right"/>
            </w:pPr>
            <w:r>
              <w:t>(715)</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D98CD" w14:textId="77777777" w:rsidR="00AF51F1" w:rsidRDefault="00711D3C">
            <w:pPr>
              <w:pStyle w:val="09-Bodytext"/>
              <w:jc w:val="right"/>
              <w:rPr>
                <w:b/>
              </w:rPr>
            </w:pPr>
            <w:r>
              <w:rPr>
                <w:b/>
              </w:rPr>
              <w:t>0</w:t>
            </w:r>
          </w:p>
        </w:tc>
      </w:tr>
      <w:tr w:rsidR="00AF51F1" w14:paraId="2B27C0A8" w14:textId="77777777">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3E315" w14:textId="77777777" w:rsidR="00AF51F1" w:rsidRDefault="00711D3C">
            <w:pPr>
              <w:pStyle w:val="09-Bodytext"/>
            </w:pPr>
            <w:r>
              <w:t>Net increase before transfers to / from other statutory reserves</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B7917" w14:textId="77777777" w:rsidR="00AF51F1" w:rsidRDefault="00711D3C">
            <w:pPr>
              <w:pStyle w:val="09-Bodytext"/>
              <w:jc w:val="right"/>
            </w:pPr>
            <w:r>
              <w:t>352</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146BC" w14:textId="77777777" w:rsidR="00AF51F1" w:rsidRDefault="00711D3C">
            <w:pPr>
              <w:pStyle w:val="09-Bodytext"/>
              <w:jc w:val="right"/>
              <w:rPr>
                <w:b/>
              </w:rPr>
            </w:pPr>
            <w:r>
              <w:rPr>
                <w:b/>
              </w:rPr>
              <w:t>352</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3A343" w14:textId="77777777" w:rsidR="00AF51F1" w:rsidRDefault="00711D3C">
            <w:pPr>
              <w:pStyle w:val="09-Bodytext"/>
              <w:jc w:val="right"/>
              <w:rPr>
                <w:b/>
              </w:rPr>
            </w:pPr>
            <w:r>
              <w:rPr>
                <w:b/>
              </w:rPr>
              <w:t>3,483</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B430B" w14:textId="77777777" w:rsidR="00AF51F1" w:rsidRDefault="00711D3C">
            <w:pPr>
              <w:pStyle w:val="09-Bodytext"/>
              <w:jc w:val="right"/>
              <w:rPr>
                <w:b/>
              </w:rPr>
            </w:pPr>
            <w:r>
              <w:rPr>
                <w:b/>
              </w:rPr>
              <w:t>3,835</w:t>
            </w:r>
          </w:p>
        </w:tc>
      </w:tr>
      <w:tr w:rsidR="00AF51F1" w14:paraId="1674B56D" w14:textId="77777777">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6C7B2" w14:textId="77777777" w:rsidR="00AF51F1" w:rsidRDefault="00711D3C">
            <w:pPr>
              <w:pStyle w:val="09-Bodytext"/>
            </w:pPr>
            <w:r>
              <w:t>Transfers to / from other statutory reserves</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7C944" w14:textId="77777777" w:rsidR="00AF51F1" w:rsidRDefault="00711D3C">
            <w:pPr>
              <w:pStyle w:val="09-Bodytext"/>
              <w:jc w:val="right"/>
            </w:pPr>
            <w:r>
              <w:t>-</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0E1C4" w14:textId="77777777" w:rsidR="00AF51F1" w:rsidRDefault="00711D3C">
            <w:pPr>
              <w:pStyle w:val="09-Bodytext"/>
              <w:jc w:val="right"/>
              <w:rPr>
                <w:b/>
              </w:rPr>
            </w:pPr>
            <w:r>
              <w:rPr>
                <w:b/>
              </w:rPr>
              <w:t>-</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1C830" w14:textId="77777777" w:rsidR="00AF51F1" w:rsidRDefault="00711D3C">
            <w:pPr>
              <w:pStyle w:val="09-Bodytext"/>
              <w:jc w:val="right"/>
            </w:pPr>
            <w:r>
              <w:t>-</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9A4D1" w14:textId="77777777" w:rsidR="00AF51F1" w:rsidRDefault="00711D3C">
            <w:pPr>
              <w:pStyle w:val="09-Bodytext"/>
              <w:jc w:val="right"/>
              <w:rPr>
                <w:b/>
              </w:rPr>
            </w:pPr>
            <w:r>
              <w:rPr>
                <w:b/>
              </w:rPr>
              <w:t>-</w:t>
            </w:r>
          </w:p>
        </w:tc>
      </w:tr>
      <w:tr w:rsidR="00AF51F1" w14:paraId="30B04CF1" w14:textId="77777777">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0E5BA" w14:textId="77777777" w:rsidR="00AF51F1" w:rsidRDefault="00711D3C">
            <w:pPr>
              <w:pStyle w:val="09-Bodytext"/>
              <w:rPr>
                <w:b/>
              </w:rPr>
            </w:pPr>
            <w:r>
              <w:rPr>
                <w:b/>
              </w:rPr>
              <w:t>Increase / (Decrease) in 2021/2022</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9BCDB" w14:textId="77777777" w:rsidR="00AF51F1" w:rsidRDefault="00711D3C">
            <w:pPr>
              <w:pStyle w:val="09-Bodytext"/>
              <w:jc w:val="right"/>
              <w:rPr>
                <w:b/>
              </w:rPr>
            </w:pPr>
            <w:r>
              <w:rPr>
                <w:b/>
              </w:rPr>
              <w:t>352</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AEDE72" w14:textId="77777777" w:rsidR="00AF51F1" w:rsidRDefault="00711D3C">
            <w:pPr>
              <w:pStyle w:val="09-Bodytext"/>
              <w:jc w:val="right"/>
              <w:rPr>
                <w:b/>
              </w:rPr>
            </w:pPr>
            <w:r>
              <w:rPr>
                <w:b/>
              </w:rPr>
              <w:t>352</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8A0CB" w14:textId="77777777" w:rsidR="00AF51F1" w:rsidRDefault="00711D3C">
            <w:pPr>
              <w:pStyle w:val="09-Bodytext"/>
              <w:jc w:val="right"/>
              <w:rPr>
                <w:b/>
              </w:rPr>
            </w:pPr>
            <w:r>
              <w:rPr>
                <w:b/>
              </w:rPr>
              <w:t>3,483</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D5C71" w14:textId="77777777" w:rsidR="00AF51F1" w:rsidRDefault="00711D3C">
            <w:pPr>
              <w:pStyle w:val="09-Bodytext"/>
              <w:jc w:val="right"/>
              <w:rPr>
                <w:b/>
              </w:rPr>
            </w:pPr>
            <w:r>
              <w:rPr>
                <w:b/>
              </w:rPr>
              <w:t>3,835</w:t>
            </w:r>
          </w:p>
        </w:tc>
      </w:tr>
      <w:tr w:rsidR="00AF51F1" w14:paraId="1E130480" w14:textId="77777777">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496FC" w14:textId="77777777" w:rsidR="00AF51F1" w:rsidRDefault="00711D3C">
            <w:pPr>
              <w:pStyle w:val="09-Bodytext"/>
              <w:rPr>
                <w:b/>
              </w:rPr>
            </w:pPr>
            <w:r>
              <w:rPr>
                <w:b/>
              </w:rPr>
              <w:t xml:space="preserve">Balance as </w:t>
            </w:r>
            <w:proofErr w:type="gramStart"/>
            <w:r>
              <w:rPr>
                <w:b/>
              </w:rPr>
              <w:t>at</w:t>
            </w:r>
            <w:proofErr w:type="gramEnd"/>
            <w:r>
              <w:rPr>
                <w:b/>
              </w:rPr>
              <w:t xml:space="preserve"> 31 March 2022</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12ECB" w14:textId="77777777" w:rsidR="00AF51F1" w:rsidRDefault="00711D3C">
            <w:pPr>
              <w:pStyle w:val="09-Bodytext"/>
              <w:jc w:val="right"/>
              <w:rPr>
                <w:b/>
              </w:rPr>
            </w:pPr>
            <w:r>
              <w:rPr>
                <w:b/>
              </w:rPr>
              <w:t>1,479</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CF54A" w14:textId="77777777" w:rsidR="00AF51F1" w:rsidRDefault="00711D3C">
            <w:pPr>
              <w:pStyle w:val="09-Bodytext"/>
              <w:jc w:val="right"/>
              <w:rPr>
                <w:b/>
              </w:rPr>
            </w:pPr>
            <w:r>
              <w:rPr>
                <w:b/>
              </w:rPr>
              <w:t>1,479</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B0608" w14:textId="77777777" w:rsidR="00AF51F1" w:rsidRDefault="00711D3C">
            <w:pPr>
              <w:pStyle w:val="09-Bodytext"/>
              <w:jc w:val="right"/>
              <w:rPr>
                <w:b/>
              </w:rPr>
            </w:pPr>
            <w:r>
              <w:rPr>
                <w:b/>
              </w:rPr>
              <w:t>1,339</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314D5" w14:textId="77777777" w:rsidR="00AF51F1" w:rsidRDefault="00711D3C">
            <w:pPr>
              <w:pStyle w:val="09-Bodytext"/>
              <w:jc w:val="right"/>
              <w:rPr>
                <w:b/>
              </w:rPr>
            </w:pPr>
            <w:r>
              <w:rPr>
                <w:b/>
              </w:rPr>
              <w:t>2,818</w:t>
            </w:r>
          </w:p>
        </w:tc>
      </w:tr>
    </w:tbl>
    <w:p w14:paraId="50946C2B" w14:textId="77777777" w:rsidR="007753E2" w:rsidRDefault="007753E2">
      <w:pPr>
        <w:suppressAutoHyphens w:val="0"/>
        <w:rPr>
          <w:rFonts w:cs="Arial"/>
          <w:sz w:val="22"/>
          <w:szCs w:val="22"/>
          <w:shd w:val="clear" w:color="auto" w:fill="FFFF00"/>
        </w:rPr>
      </w:pPr>
      <w:r>
        <w:rPr>
          <w:rFonts w:cs="Arial"/>
          <w:sz w:val="22"/>
          <w:szCs w:val="22"/>
          <w:shd w:val="clear" w:color="auto" w:fill="FFFF00"/>
        </w:rPr>
        <w:br w:type="page"/>
      </w:r>
    </w:p>
    <w:p w14:paraId="3152394F" w14:textId="77777777" w:rsidR="00AF51F1" w:rsidRDefault="00711D3C">
      <w:pPr>
        <w:pStyle w:val="09-Bodytext"/>
        <w:rPr>
          <w:b/>
          <w:bCs/>
        </w:rPr>
      </w:pPr>
      <w:r>
        <w:rPr>
          <w:b/>
          <w:bCs/>
        </w:rPr>
        <w:lastRenderedPageBreak/>
        <w:t>Movement in Reserves Statement for the year ended 31 March 2021</w:t>
      </w:r>
    </w:p>
    <w:p w14:paraId="3A6D464B" w14:textId="77777777" w:rsidR="00AF51F1" w:rsidRDefault="00AF51F1">
      <w:pPr>
        <w:pStyle w:val="09-Bodytext"/>
      </w:pPr>
    </w:p>
    <w:tbl>
      <w:tblPr>
        <w:tblW w:w="9016" w:type="dxa"/>
        <w:tblCellMar>
          <w:left w:w="10" w:type="dxa"/>
          <w:right w:w="10" w:type="dxa"/>
        </w:tblCellMar>
        <w:tblLook w:val="0000" w:firstRow="0" w:lastRow="0" w:firstColumn="0" w:lastColumn="0" w:noHBand="0" w:noVBand="0"/>
      </w:tblPr>
      <w:tblGrid>
        <w:gridCol w:w="3256"/>
        <w:gridCol w:w="1440"/>
        <w:gridCol w:w="1440"/>
        <w:gridCol w:w="1440"/>
        <w:gridCol w:w="1440"/>
      </w:tblGrid>
      <w:tr w:rsidR="00AF51F1" w14:paraId="7EE71263" w14:textId="77777777">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E86BD" w14:textId="77777777" w:rsidR="00AF51F1" w:rsidRDefault="00AF51F1">
            <w:pPr>
              <w:pStyle w:val="09-Bodytext"/>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3ABD2" w14:textId="77777777" w:rsidR="00AF51F1" w:rsidRDefault="00711D3C">
            <w:pPr>
              <w:pStyle w:val="09-Bodytext"/>
              <w:jc w:val="right"/>
              <w:rPr>
                <w:b/>
                <w:bCs/>
              </w:rPr>
            </w:pPr>
            <w:r>
              <w:rPr>
                <w:b/>
                <w:bCs/>
              </w:rPr>
              <w:t>General Fund Balance</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362BE" w14:textId="77777777" w:rsidR="00AF51F1" w:rsidRDefault="00711D3C">
            <w:pPr>
              <w:pStyle w:val="09-Bodytext"/>
              <w:jc w:val="right"/>
              <w:rPr>
                <w:b/>
                <w:bCs/>
              </w:rPr>
            </w:pPr>
            <w:r>
              <w:rPr>
                <w:b/>
                <w:bCs/>
              </w:rPr>
              <w:t>Total Usable Reserves</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FE97D" w14:textId="77777777" w:rsidR="00AF51F1" w:rsidRDefault="00711D3C">
            <w:pPr>
              <w:pStyle w:val="09-Bodytext"/>
              <w:jc w:val="right"/>
              <w:rPr>
                <w:b/>
                <w:bCs/>
              </w:rPr>
            </w:pPr>
            <w:r>
              <w:rPr>
                <w:b/>
                <w:bCs/>
              </w:rPr>
              <w:t>Unusable Reserves</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D51C6" w14:textId="77777777" w:rsidR="00AF51F1" w:rsidRDefault="00711D3C">
            <w:pPr>
              <w:pStyle w:val="09-Bodytext"/>
              <w:jc w:val="right"/>
              <w:rPr>
                <w:b/>
                <w:bCs/>
              </w:rPr>
            </w:pPr>
            <w:r>
              <w:rPr>
                <w:b/>
                <w:bCs/>
              </w:rPr>
              <w:t>Total Reserves</w:t>
            </w:r>
          </w:p>
        </w:tc>
      </w:tr>
      <w:tr w:rsidR="00AF51F1" w14:paraId="749FA219" w14:textId="77777777">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94AAB" w14:textId="77777777" w:rsidR="00AF51F1" w:rsidRDefault="00AF51F1">
            <w:pPr>
              <w:pStyle w:val="09-Bodytext"/>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22869" w14:textId="77777777" w:rsidR="00AF51F1" w:rsidRDefault="00711D3C">
            <w:pPr>
              <w:pStyle w:val="09-Bodytext"/>
              <w:jc w:val="right"/>
              <w:rPr>
                <w:b/>
                <w:bCs/>
              </w:rPr>
            </w:pPr>
            <w:r>
              <w:rPr>
                <w:b/>
                <w:bCs/>
              </w:rPr>
              <w:t>£000</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51706" w14:textId="77777777" w:rsidR="00AF51F1" w:rsidRDefault="00711D3C">
            <w:pPr>
              <w:pStyle w:val="09-Bodytext"/>
              <w:jc w:val="right"/>
              <w:rPr>
                <w:b/>
                <w:bCs/>
              </w:rPr>
            </w:pPr>
            <w:r>
              <w:rPr>
                <w:b/>
                <w:bCs/>
              </w:rPr>
              <w:t>£000</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0E140" w14:textId="77777777" w:rsidR="00AF51F1" w:rsidRDefault="00711D3C">
            <w:pPr>
              <w:pStyle w:val="09-Bodytext"/>
              <w:jc w:val="right"/>
              <w:rPr>
                <w:b/>
                <w:bCs/>
              </w:rPr>
            </w:pPr>
            <w:r>
              <w:rPr>
                <w:b/>
                <w:bCs/>
              </w:rPr>
              <w:t>£000</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E2433" w14:textId="77777777" w:rsidR="00AF51F1" w:rsidRDefault="00711D3C">
            <w:pPr>
              <w:pStyle w:val="09-Bodytext"/>
              <w:jc w:val="right"/>
              <w:rPr>
                <w:b/>
                <w:bCs/>
              </w:rPr>
            </w:pPr>
            <w:r>
              <w:rPr>
                <w:b/>
                <w:bCs/>
              </w:rPr>
              <w:t>£000</w:t>
            </w:r>
          </w:p>
        </w:tc>
      </w:tr>
      <w:tr w:rsidR="00AF51F1" w14:paraId="203053DD" w14:textId="77777777">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A96AA" w14:textId="77777777" w:rsidR="00AF51F1" w:rsidRDefault="00711D3C">
            <w:pPr>
              <w:pStyle w:val="09-Bodytext"/>
              <w:rPr>
                <w:b/>
                <w:bCs/>
              </w:rPr>
            </w:pPr>
            <w:r>
              <w:rPr>
                <w:b/>
                <w:bCs/>
              </w:rPr>
              <w:t xml:space="preserve">Balance </w:t>
            </w:r>
            <w:proofErr w:type="gramStart"/>
            <w:r>
              <w:rPr>
                <w:b/>
                <w:bCs/>
              </w:rPr>
              <w:t>at</w:t>
            </w:r>
            <w:proofErr w:type="gramEnd"/>
            <w:r>
              <w:rPr>
                <w:b/>
                <w:bCs/>
              </w:rPr>
              <w:t xml:space="preserve"> 31 March 2020</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12BBB8" w14:textId="77777777" w:rsidR="00AF51F1" w:rsidRDefault="00711D3C">
            <w:pPr>
              <w:pStyle w:val="09-Bodytext"/>
              <w:jc w:val="right"/>
              <w:rPr>
                <w:b/>
                <w:bCs/>
              </w:rPr>
            </w:pPr>
            <w:r>
              <w:rPr>
                <w:b/>
                <w:bCs/>
              </w:rPr>
              <w:t>947</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85205" w14:textId="77777777" w:rsidR="00AF51F1" w:rsidRDefault="00711D3C">
            <w:pPr>
              <w:pStyle w:val="09-Bodytext"/>
              <w:jc w:val="right"/>
              <w:rPr>
                <w:b/>
                <w:bCs/>
              </w:rPr>
            </w:pPr>
            <w:r>
              <w:rPr>
                <w:b/>
                <w:bCs/>
              </w:rPr>
              <w:t>947</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F4AEE" w14:textId="77777777" w:rsidR="00AF51F1" w:rsidRDefault="00711D3C">
            <w:pPr>
              <w:pStyle w:val="09-Bodytext"/>
              <w:jc w:val="right"/>
              <w:rPr>
                <w:b/>
                <w:bCs/>
              </w:rPr>
            </w:pPr>
            <w:r>
              <w:rPr>
                <w:b/>
                <w:bCs/>
              </w:rPr>
              <w:t>(1,152)</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A6061" w14:textId="77777777" w:rsidR="00AF51F1" w:rsidRDefault="00711D3C">
            <w:pPr>
              <w:pStyle w:val="09-Bodytext"/>
              <w:jc w:val="right"/>
              <w:rPr>
                <w:b/>
                <w:bCs/>
              </w:rPr>
            </w:pPr>
            <w:r>
              <w:rPr>
                <w:b/>
                <w:bCs/>
              </w:rPr>
              <w:t>(205)</w:t>
            </w:r>
          </w:p>
        </w:tc>
      </w:tr>
      <w:tr w:rsidR="00AF51F1" w14:paraId="05E24814" w14:textId="77777777">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E0AF7" w14:textId="77777777" w:rsidR="00AF51F1" w:rsidRDefault="00711D3C">
            <w:pPr>
              <w:pStyle w:val="09-Bodytext"/>
              <w:rPr>
                <w:b/>
                <w:bCs/>
              </w:rPr>
            </w:pPr>
            <w:r>
              <w:rPr>
                <w:b/>
                <w:bCs/>
              </w:rPr>
              <w:t>Movement in Reserves during 201202021</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7A316" w14:textId="77777777" w:rsidR="00AF51F1" w:rsidRDefault="00AF51F1">
            <w:pPr>
              <w:pStyle w:val="09-Bodytext"/>
              <w:jc w:val="right"/>
              <w:rPr>
                <w:b/>
                <w:bCs/>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8587C" w14:textId="77777777" w:rsidR="00AF51F1" w:rsidRDefault="00AF51F1">
            <w:pPr>
              <w:pStyle w:val="09-Bodytext"/>
              <w:jc w:val="right"/>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7708D" w14:textId="77777777" w:rsidR="00AF51F1" w:rsidRDefault="00AF51F1">
            <w:pPr>
              <w:pStyle w:val="09-Bodytext"/>
              <w:jc w:val="right"/>
              <w:rPr>
                <w:b/>
                <w:bCs/>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5B375" w14:textId="77777777" w:rsidR="00AF51F1" w:rsidRDefault="00AF51F1">
            <w:pPr>
              <w:pStyle w:val="09-Bodytext"/>
              <w:jc w:val="right"/>
            </w:pPr>
          </w:p>
        </w:tc>
      </w:tr>
      <w:tr w:rsidR="00AF51F1" w14:paraId="17418D43" w14:textId="77777777">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3E00F" w14:textId="77777777" w:rsidR="00AF51F1" w:rsidRDefault="00711D3C">
            <w:pPr>
              <w:pStyle w:val="09-Bodytext"/>
            </w:pPr>
            <w:r>
              <w:t>Surplus on the provision of services</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79384" w14:textId="77777777" w:rsidR="00AF51F1" w:rsidRDefault="00711D3C">
            <w:pPr>
              <w:pStyle w:val="09-Bodytext"/>
              <w:jc w:val="right"/>
            </w:pPr>
            <w:r>
              <w:t>(91)</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2F04B" w14:textId="77777777" w:rsidR="00AF51F1" w:rsidRDefault="00711D3C">
            <w:pPr>
              <w:pStyle w:val="09-Bodytext"/>
              <w:jc w:val="right"/>
            </w:pPr>
            <w:r>
              <w:t>(91)</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92FB6" w14:textId="77777777" w:rsidR="00AF51F1" w:rsidRDefault="00711D3C">
            <w:pPr>
              <w:pStyle w:val="09-Bodytext"/>
              <w:jc w:val="right"/>
            </w:pPr>
            <w:r>
              <w:t>-</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81103" w14:textId="77777777" w:rsidR="00AF51F1" w:rsidRDefault="00711D3C">
            <w:pPr>
              <w:pStyle w:val="09-Bodytext"/>
              <w:jc w:val="right"/>
            </w:pPr>
            <w:r>
              <w:t>(91)</w:t>
            </w:r>
          </w:p>
        </w:tc>
      </w:tr>
      <w:tr w:rsidR="00AF51F1" w14:paraId="783F3B3E" w14:textId="77777777">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50FD7" w14:textId="77777777" w:rsidR="00AF51F1" w:rsidRDefault="00711D3C">
            <w:pPr>
              <w:pStyle w:val="09-Bodytext"/>
            </w:pPr>
            <w:r>
              <w:t>Other comprehensive income and expenditure</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D9667" w14:textId="77777777" w:rsidR="00AF51F1" w:rsidRDefault="00711D3C">
            <w:pPr>
              <w:pStyle w:val="09-Bodytext"/>
              <w:jc w:val="right"/>
            </w:pPr>
            <w:r>
              <w:t>-</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FCB74" w14:textId="77777777" w:rsidR="00AF51F1" w:rsidRDefault="00711D3C">
            <w:pPr>
              <w:pStyle w:val="09-Bodytext"/>
              <w:jc w:val="right"/>
            </w:pPr>
            <w:r>
              <w:t>-</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CF968" w14:textId="77777777" w:rsidR="00AF51F1" w:rsidRDefault="00711D3C">
            <w:pPr>
              <w:pStyle w:val="09-Bodytext"/>
              <w:jc w:val="right"/>
            </w:pPr>
            <w:r>
              <w:t>(721)</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8E392" w14:textId="77777777" w:rsidR="00AF51F1" w:rsidRDefault="00711D3C">
            <w:pPr>
              <w:pStyle w:val="09-Bodytext"/>
              <w:jc w:val="right"/>
            </w:pPr>
            <w:r>
              <w:t>(721)</w:t>
            </w:r>
          </w:p>
        </w:tc>
      </w:tr>
      <w:tr w:rsidR="00AF51F1" w14:paraId="182D61E6" w14:textId="77777777">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0A63F" w14:textId="77777777" w:rsidR="00AF51F1" w:rsidRDefault="00711D3C">
            <w:pPr>
              <w:pStyle w:val="09-Bodytext"/>
              <w:rPr>
                <w:b/>
                <w:bCs/>
              </w:rPr>
            </w:pPr>
            <w:r>
              <w:rPr>
                <w:b/>
                <w:bCs/>
              </w:rPr>
              <w:t>Total comprehensive income and expenditure</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687F1" w14:textId="77777777" w:rsidR="00AF51F1" w:rsidRDefault="00711D3C">
            <w:pPr>
              <w:pStyle w:val="09-Bodytext"/>
              <w:jc w:val="right"/>
              <w:rPr>
                <w:b/>
                <w:bCs/>
              </w:rPr>
            </w:pPr>
            <w:r>
              <w:rPr>
                <w:b/>
                <w:bCs/>
              </w:rPr>
              <w:t>(91)</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A0636" w14:textId="77777777" w:rsidR="00AF51F1" w:rsidRDefault="00711D3C">
            <w:pPr>
              <w:pStyle w:val="09-Bodytext"/>
              <w:jc w:val="right"/>
              <w:rPr>
                <w:b/>
                <w:bCs/>
              </w:rPr>
            </w:pPr>
            <w:r>
              <w:rPr>
                <w:b/>
                <w:bCs/>
              </w:rPr>
              <w:t>(91)</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D2168" w14:textId="77777777" w:rsidR="00AF51F1" w:rsidRDefault="00711D3C">
            <w:pPr>
              <w:pStyle w:val="09-Bodytext"/>
              <w:jc w:val="right"/>
              <w:rPr>
                <w:b/>
                <w:bCs/>
              </w:rPr>
            </w:pPr>
            <w:r>
              <w:rPr>
                <w:b/>
                <w:bCs/>
              </w:rPr>
              <w:t>(721)</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759CF" w14:textId="77777777" w:rsidR="00AF51F1" w:rsidRDefault="00711D3C">
            <w:pPr>
              <w:pStyle w:val="09-Bodytext"/>
              <w:jc w:val="right"/>
              <w:rPr>
                <w:b/>
                <w:bCs/>
              </w:rPr>
            </w:pPr>
            <w:r>
              <w:rPr>
                <w:b/>
                <w:bCs/>
              </w:rPr>
              <w:t>(812)</w:t>
            </w:r>
          </w:p>
        </w:tc>
      </w:tr>
      <w:tr w:rsidR="00AF51F1" w14:paraId="49B8DEA8" w14:textId="77777777">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1663C" w14:textId="77777777" w:rsidR="00AF51F1" w:rsidRDefault="00711D3C">
            <w:pPr>
              <w:pStyle w:val="09-Bodytext"/>
            </w:pPr>
            <w:r>
              <w:t>Adjustments between accounting basis and funding basis (note 5)</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BCFAE" w14:textId="77777777" w:rsidR="00AF51F1" w:rsidRDefault="00711D3C">
            <w:pPr>
              <w:pStyle w:val="09-Bodytext"/>
              <w:jc w:val="right"/>
            </w:pPr>
            <w:r>
              <w:t>271</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AB35C7" w14:textId="77777777" w:rsidR="00AF51F1" w:rsidRDefault="00711D3C">
            <w:pPr>
              <w:pStyle w:val="09-Bodytext"/>
              <w:jc w:val="right"/>
              <w:rPr>
                <w:b/>
                <w:bCs/>
              </w:rPr>
            </w:pPr>
            <w:r>
              <w:rPr>
                <w:b/>
                <w:bCs/>
              </w:rPr>
              <w:t>271</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AFEE3" w14:textId="77777777" w:rsidR="00AF51F1" w:rsidRDefault="00711D3C">
            <w:pPr>
              <w:pStyle w:val="09-Bodytext"/>
              <w:jc w:val="right"/>
            </w:pPr>
            <w:r>
              <w:t>(271)</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1445F" w14:textId="77777777" w:rsidR="00AF51F1" w:rsidRDefault="00AF51F1">
            <w:pPr>
              <w:pStyle w:val="09-Bodytext"/>
              <w:jc w:val="right"/>
            </w:pPr>
          </w:p>
        </w:tc>
      </w:tr>
      <w:tr w:rsidR="00AF51F1" w14:paraId="37CDDAB5" w14:textId="77777777">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2AD78" w14:textId="77777777" w:rsidR="00AF51F1" w:rsidRDefault="00711D3C">
            <w:pPr>
              <w:pStyle w:val="09-Bodytext"/>
            </w:pPr>
            <w:r>
              <w:t>Net increase before transfers to / from other statutory reserves</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5B7A7" w14:textId="77777777" w:rsidR="00AF51F1" w:rsidRDefault="00711D3C">
            <w:pPr>
              <w:pStyle w:val="09-Bodytext"/>
              <w:jc w:val="right"/>
            </w:pPr>
            <w:r>
              <w:t>180</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33A16" w14:textId="77777777" w:rsidR="00AF51F1" w:rsidRDefault="00711D3C">
            <w:pPr>
              <w:pStyle w:val="09-Bodytext"/>
              <w:jc w:val="right"/>
              <w:rPr>
                <w:b/>
                <w:bCs/>
              </w:rPr>
            </w:pPr>
            <w:r>
              <w:rPr>
                <w:b/>
                <w:bCs/>
              </w:rPr>
              <w:t>180</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85595" w14:textId="77777777" w:rsidR="00AF51F1" w:rsidRDefault="00711D3C">
            <w:pPr>
              <w:pStyle w:val="09-Bodytext"/>
              <w:jc w:val="right"/>
              <w:rPr>
                <w:b/>
                <w:bCs/>
              </w:rPr>
            </w:pPr>
            <w:r>
              <w:rPr>
                <w:b/>
                <w:bCs/>
              </w:rPr>
              <w:t>(992)</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7E4B5" w14:textId="77777777" w:rsidR="00AF51F1" w:rsidRDefault="00711D3C">
            <w:pPr>
              <w:pStyle w:val="09-Bodytext"/>
              <w:jc w:val="right"/>
              <w:rPr>
                <w:b/>
                <w:bCs/>
              </w:rPr>
            </w:pPr>
            <w:r>
              <w:rPr>
                <w:b/>
                <w:bCs/>
              </w:rPr>
              <w:t>(812)</w:t>
            </w:r>
          </w:p>
        </w:tc>
      </w:tr>
      <w:tr w:rsidR="00AF51F1" w14:paraId="691EF71E" w14:textId="77777777">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C1B42" w14:textId="77777777" w:rsidR="00AF51F1" w:rsidRDefault="00711D3C">
            <w:pPr>
              <w:pStyle w:val="09-Bodytext"/>
            </w:pPr>
            <w:r>
              <w:t>Transfers to / from other statutory reserves</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E9415" w14:textId="77777777" w:rsidR="00AF51F1" w:rsidRDefault="00711D3C">
            <w:pPr>
              <w:pStyle w:val="09-Bodytext"/>
              <w:jc w:val="right"/>
            </w:pPr>
            <w:r>
              <w:t>-</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3D30E" w14:textId="77777777" w:rsidR="00AF51F1" w:rsidRDefault="00711D3C">
            <w:pPr>
              <w:pStyle w:val="09-Bodytext"/>
              <w:jc w:val="right"/>
            </w:pPr>
            <w:r>
              <w:t>-</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4895E" w14:textId="77777777" w:rsidR="00AF51F1" w:rsidRDefault="00711D3C">
            <w:pPr>
              <w:pStyle w:val="09-Bodytext"/>
              <w:jc w:val="right"/>
            </w:pPr>
            <w:r>
              <w:t>-</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6A759" w14:textId="77777777" w:rsidR="00AF51F1" w:rsidRDefault="00711D3C">
            <w:pPr>
              <w:pStyle w:val="09-Bodytext"/>
              <w:jc w:val="right"/>
            </w:pPr>
            <w:r>
              <w:t>-</w:t>
            </w:r>
          </w:p>
        </w:tc>
      </w:tr>
      <w:tr w:rsidR="00AF51F1" w14:paraId="45024028" w14:textId="77777777">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B286A" w14:textId="77777777" w:rsidR="00AF51F1" w:rsidRDefault="00711D3C">
            <w:pPr>
              <w:pStyle w:val="09-Bodytext"/>
            </w:pPr>
            <w:r>
              <w:t>Increase / (Decrease) in 201202021</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A67A4" w14:textId="77777777" w:rsidR="00AF51F1" w:rsidRDefault="00711D3C">
            <w:pPr>
              <w:pStyle w:val="09-Bodytext"/>
              <w:jc w:val="right"/>
              <w:rPr>
                <w:b/>
                <w:bCs/>
              </w:rPr>
            </w:pPr>
            <w:r>
              <w:rPr>
                <w:b/>
                <w:bCs/>
              </w:rPr>
              <w:t>180</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6BF18" w14:textId="77777777" w:rsidR="00AF51F1" w:rsidRDefault="00711D3C">
            <w:pPr>
              <w:pStyle w:val="09-Bodytext"/>
              <w:jc w:val="right"/>
              <w:rPr>
                <w:b/>
                <w:bCs/>
              </w:rPr>
            </w:pPr>
            <w:r>
              <w:rPr>
                <w:b/>
                <w:bCs/>
              </w:rPr>
              <w:t>180</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DBE42" w14:textId="77777777" w:rsidR="00AF51F1" w:rsidRDefault="00711D3C">
            <w:pPr>
              <w:pStyle w:val="09-Bodytext"/>
              <w:jc w:val="right"/>
              <w:rPr>
                <w:b/>
                <w:bCs/>
              </w:rPr>
            </w:pPr>
            <w:r>
              <w:rPr>
                <w:b/>
                <w:bCs/>
              </w:rPr>
              <w:t>(992)</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8A8D7" w14:textId="77777777" w:rsidR="00AF51F1" w:rsidRDefault="00711D3C">
            <w:pPr>
              <w:pStyle w:val="09-Bodytext"/>
              <w:jc w:val="right"/>
              <w:rPr>
                <w:b/>
                <w:bCs/>
              </w:rPr>
            </w:pPr>
            <w:r>
              <w:rPr>
                <w:b/>
                <w:bCs/>
              </w:rPr>
              <w:t>(812)</w:t>
            </w:r>
          </w:p>
        </w:tc>
      </w:tr>
      <w:tr w:rsidR="00AF51F1" w14:paraId="2B043EFE" w14:textId="77777777">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428B5" w14:textId="77777777" w:rsidR="00AF51F1" w:rsidRDefault="00711D3C">
            <w:pPr>
              <w:pStyle w:val="09-Bodytext"/>
            </w:pPr>
            <w:r>
              <w:t xml:space="preserve">Balance as </w:t>
            </w:r>
            <w:proofErr w:type="gramStart"/>
            <w:r>
              <w:t>at</w:t>
            </w:r>
            <w:proofErr w:type="gramEnd"/>
            <w:r>
              <w:t xml:space="preserve"> 31 March 2021</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A69FD" w14:textId="77777777" w:rsidR="00AF51F1" w:rsidRDefault="00711D3C">
            <w:pPr>
              <w:pStyle w:val="09-Bodytext"/>
              <w:jc w:val="right"/>
              <w:rPr>
                <w:b/>
                <w:bCs/>
              </w:rPr>
            </w:pPr>
            <w:r>
              <w:rPr>
                <w:b/>
                <w:bCs/>
              </w:rPr>
              <w:t>1,127</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0FEA2" w14:textId="77777777" w:rsidR="00AF51F1" w:rsidRDefault="00711D3C">
            <w:pPr>
              <w:pStyle w:val="09-Bodytext"/>
              <w:jc w:val="right"/>
              <w:rPr>
                <w:b/>
                <w:bCs/>
              </w:rPr>
            </w:pPr>
            <w:r>
              <w:rPr>
                <w:b/>
                <w:bCs/>
              </w:rPr>
              <w:t>1,127</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550A9" w14:textId="77777777" w:rsidR="00AF51F1" w:rsidRDefault="00711D3C">
            <w:pPr>
              <w:pStyle w:val="09-Bodytext"/>
              <w:jc w:val="right"/>
              <w:rPr>
                <w:b/>
                <w:bCs/>
              </w:rPr>
            </w:pPr>
            <w:r>
              <w:rPr>
                <w:b/>
                <w:bCs/>
              </w:rPr>
              <w:t>(2,144)</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44BFF" w14:textId="77777777" w:rsidR="00AF51F1" w:rsidRDefault="00711D3C">
            <w:pPr>
              <w:pStyle w:val="09-Bodytext"/>
              <w:jc w:val="right"/>
              <w:rPr>
                <w:b/>
                <w:bCs/>
              </w:rPr>
            </w:pPr>
            <w:r>
              <w:rPr>
                <w:b/>
                <w:bCs/>
              </w:rPr>
              <w:t>(1,017)</w:t>
            </w:r>
          </w:p>
        </w:tc>
      </w:tr>
    </w:tbl>
    <w:p w14:paraId="5CF16971" w14:textId="77777777" w:rsidR="00AF51F1" w:rsidRDefault="00AF51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sz w:val="22"/>
          <w:szCs w:val="22"/>
          <w:shd w:val="clear" w:color="auto" w:fill="FFFF00"/>
        </w:rPr>
      </w:pPr>
    </w:p>
    <w:p w14:paraId="346705B8" w14:textId="77777777" w:rsidR="00AF51F1" w:rsidRDefault="00AF51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2"/>
          <w:szCs w:val="22"/>
          <w:shd w:val="clear" w:color="auto" w:fill="FFFF00"/>
        </w:rPr>
      </w:pPr>
    </w:p>
    <w:p w14:paraId="6F532C5F" w14:textId="77777777" w:rsidR="00AF51F1" w:rsidRDefault="00AF51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sz w:val="22"/>
          <w:szCs w:val="22"/>
          <w:shd w:val="clear" w:color="auto" w:fill="FFFF00"/>
        </w:rPr>
      </w:pPr>
    </w:p>
    <w:p w14:paraId="64DA321E" w14:textId="77777777" w:rsidR="00AF51F1" w:rsidRDefault="00AF51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sz w:val="22"/>
          <w:szCs w:val="22"/>
          <w:shd w:val="clear" w:color="auto" w:fill="FFFF00"/>
        </w:rPr>
      </w:pPr>
    </w:p>
    <w:p w14:paraId="21C1A19C" w14:textId="77777777" w:rsidR="00AF51F1" w:rsidRDefault="00AF51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sz w:val="22"/>
          <w:szCs w:val="22"/>
          <w:shd w:val="clear" w:color="auto" w:fill="FFFF00"/>
        </w:rPr>
      </w:pPr>
    </w:p>
    <w:p w14:paraId="1C61A90D" w14:textId="77777777" w:rsidR="00AF51F1" w:rsidRDefault="00AF51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sz w:val="22"/>
          <w:szCs w:val="22"/>
          <w:shd w:val="clear" w:color="auto" w:fill="FFFF00"/>
        </w:rPr>
      </w:pPr>
    </w:p>
    <w:p w14:paraId="699F2738" w14:textId="77777777" w:rsidR="00AF51F1" w:rsidRDefault="00AF51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sz w:val="22"/>
          <w:szCs w:val="22"/>
          <w:shd w:val="clear" w:color="auto" w:fill="FFFF00"/>
        </w:rPr>
      </w:pPr>
    </w:p>
    <w:p w14:paraId="19B084D5" w14:textId="77777777" w:rsidR="00AF51F1" w:rsidRDefault="00AF51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sz w:val="22"/>
          <w:szCs w:val="22"/>
          <w:shd w:val="clear" w:color="auto" w:fill="FFFF00"/>
        </w:rPr>
      </w:pPr>
    </w:p>
    <w:p w14:paraId="23E4B207" w14:textId="77777777" w:rsidR="00AF51F1" w:rsidRDefault="00AF51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sz w:val="22"/>
          <w:szCs w:val="22"/>
          <w:shd w:val="clear" w:color="auto" w:fill="FFFF00"/>
        </w:rPr>
      </w:pPr>
    </w:p>
    <w:p w14:paraId="178E776F" w14:textId="77777777" w:rsidR="00AF51F1" w:rsidRDefault="00AF51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sz w:val="22"/>
          <w:szCs w:val="22"/>
          <w:shd w:val="clear" w:color="auto" w:fill="FFFF00"/>
        </w:rPr>
      </w:pPr>
    </w:p>
    <w:p w14:paraId="4F889C57" w14:textId="77777777" w:rsidR="00AF51F1" w:rsidRDefault="00AF51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sz w:val="22"/>
          <w:szCs w:val="22"/>
          <w:shd w:val="clear" w:color="auto" w:fill="FFFF00"/>
        </w:rPr>
      </w:pPr>
    </w:p>
    <w:p w14:paraId="46E2863A" w14:textId="77777777" w:rsidR="00AF51F1" w:rsidRDefault="00AF51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sz w:val="22"/>
          <w:szCs w:val="22"/>
          <w:shd w:val="clear" w:color="auto" w:fill="FFFF00"/>
        </w:rPr>
      </w:pPr>
    </w:p>
    <w:p w14:paraId="7B4449FD" w14:textId="77777777" w:rsidR="00AF51F1" w:rsidRDefault="00AF51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sz w:val="22"/>
          <w:szCs w:val="22"/>
          <w:shd w:val="clear" w:color="auto" w:fill="FFFF00"/>
        </w:rPr>
      </w:pPr>
    </w:p>
    <w:p w14:paraId="05D776D5" w14:textId="77777777" w:rsidR="00AF51F1" w:rsidRDefault="00AF51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sz w:val="22"/>
          <w:szCs w:val="22"/>
          <w:shd w:val="clear" w:color="auto" w:fill="FFFF00"/>
        </w:rPr>
      </w:pPr>
    </w:p>
    <w:p w14:paraId="35F6900A" w14:textId="77777777" w:rsidR="00AF51F1" w:rsidRDefault="00AF51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sz w:val="22"/>
          <w:szCs w:val="22"/>
          <w:shd w:val="clear" w:color="auto" w:fill="FFFF00"/>
        </w:rPr>
      </w:pPr>
    </w:p>
    <w:p w14:paraId="4F008E1F" w14:textId="77777777" w:rsidR="00AF51F1" w:rsidRDefault="00AF51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sz w:val="22"/>
          <w:szCs w:val="22"/>
          <w:shd w:val="clear" w:color="auto" w:fill="FFFF00"/>
        </w:rPr>
      </w:pPr>
    </w:p>
    <w:p w14:paraId="635927D5" w14:textId="77777777" w:rsidR="00AF51F1" w:rsidRDefault="00AF51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sz w:val="22"/>
          <w:szCs w:val="22"/>
          <w:shd w:val="clear" w:color="auto" w:fill="FFFF00"/>
        </w:rPr>
      </w:pPr>
    </w:p>
    <w:p w14:paraId="6E59F7C8" w14:textId="77777777" w:rsidR="00AF51F1" w:rsidRDefault="00AF51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sz w:val="22"/>
          <w:szCs w:val="22"/>
          <w:shd w:val="clear" w:color="auto" w:fill="FFFF00"/>
        </w:rPr>
      </w:pPr>
    </w:p>
    <w:p w14:paraId="0C83B8F5" w14:textId="209050D0" w:rsidR="00AF51F1" w:rsidRDefault="00AF51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sz w:val="22"/>
          <w:szCs w:val="22"/>
          <w:shd w:val="clear" w:color="auto" w:fill="FFFF00"/>
        </w:rPr>
      </w:pPr>
    </w:p>
    <w:p w14:paraId="5B790F7B" w14:textId="4E53CC4E" w:rsidR="005E0E9A" w:rsidRDefault="005E0E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sz w:val="22"/>
          <w:szCs w:val="22"/>
          <w:shd w:val="clear" w:color="auto" w:fill="FFFF00"/>
        </w:rPr>
      </w:pPr>
    </w:p>
    <w:p w14:paraId="7FD1B861" w14:textId="2B9B5E98" w:rsidR="005E0E9A" w:rsidRDefault="005E0E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sz w:val="22"/>
          <w:szCs w:val="22"/>
          <w:shd w:val="clear" w:color="auto" w:fill="FFFF00"/>
        </w:rPr>
      </w:pPr>
    </w:p>
    <w:p w14:paraId="0288C2B7" w14:textId="53A2A39F" w:rsidR="005E0E9A" w:rsidRDefault="005E0E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sz w:val="22"/>
          <w:szCs w:val="22"/>
          <w:shd w:val="clear" w:color="auto" w:fill="FFFF00"/>
        </w:rPr>
      </w:pPr>
    </w:p>
    <w:p w14:paraId="216BECFF" w14:textId="446FC223" w:rsidR="005E0E9A" w:rsidRDefault="005E0E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sz w:val="22"/>
          <w:szCs w:val="22"/>
          <w:shd w:val="clear" w:color="auto" w:fill="FFFF00"/>
        </w:rPr>
      </w:pPr>
    </w:p>
    <w:p w14:paraId="0E7787D8" w14:textId="1AA315C1" w:rsidR="005E0E9A" w:rsidRDefault="005E0E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sz w:val="22"/>
          <w:szCs w:val="22"/>
          <w:shd w:val="clear" w:color="auto" w:fill="FFFF00"/>
        </w:rPr>
      </w:pPr>
    </w:p>
    <w:p w14:paraId="7D864DFF" w14:textId="246B3B61" w:rsidR="005E0E9A" w:rsidRDefault="005E0E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sz w:val="22"/>
          <w:szCs w:val="22"/>
          <w:shd w:val="clear" w:color="auto" w:fill="FFFF00"/>
        </w:rPr>
      </w:pPr>
    </w:p>
    <w:p w14:paraId="40D1C8F0" w14:textId="77777777" w:rsidR="005E0E9A" w:rsidRDefault="005E0E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sz w:val="22"/>
          <w:szCs w:val="22"/>
          <w:shd w:val="clear" w:color="auto" w:fill="FFFF00"/>
        </w:rPr>
      </w:pPr>
    </w:p>
    <w:p w14:paraId="56235693" w14:textId="146884FC" w:rsidR="00AF51F1" w:rsidRPr="005E0E9A" w:rsidRDefault="00711D3C" w:rsidP="005E0E9A">
      <w:pPr>
        <w:pStyle w:val="Heading2"/>
        <w:rPr>
          <w:sz w:val="22"/>
          <w:szCs w:val="22"/>
        </w:rPr>
      </w:pPr>
      <w:r w:rsidRPr="005E0E9A">
        <w:rPr>
          <w:sz w:val="22"/>
          <w:szCs w:val="22"/>
        </w:rPr>
        <w:lastRenderedPageBreak/>
        <w:t>Cash Flow Statement</w:t>
      </w:r>
    </w:p>
    <w:p w14:paraId="24BD2E9B" w14:textId="77777777" w:rsidR="00AF51F1" w:rsidRDefault="00AF51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2"/>
          <w:szCs w:val="22"/>
        </w:rPr>
      </w:pPr>
    </w:p>
    <w:p w14:paraId="08B1A4B0" w14:textId="77777777" w:rsidR="00AF51F1" w:rsidRDefault="00711D3C">
      <w:pPr>
        <w:pStyle w:val="09-Bodytext"/>
      </w:pPr>
      <w:r>
        <w:t xml:space="preserve">This </w:t>
      </w:r>
      <w:bookmarkStart w:id="3" w:name="_Hlk116637706"/>
      <w:r>
        <w:t xml:space="preserve">statement shows the </w:t>
      </w:r>
      <w:bookmarkEnd w:id="3"/>
      <w:r>
        <w:t xml:space="preserve">changes in cash and cash equivalents of the Board during the year.  The statement shows how the Board generates and uses cash and cash equivalents by classifying them as either operating, </w:t>
      </w:r>
      <w:proofErr w:type="gramStart"/>
      <w:r>
        <w:t>investing</w:t>
      </w:r>
      <w:proofErr w:type="gramEnd"/>
      <w:r>
        <w:t xml:space="preserve"> or financing activities.</w:t>
      </w:r>
    </w:p>
    <w:p w14:paraId="2207A624" w14:textId="77777777" w:rsidR="00AF51F1" w:rsidRDefault="00AF51F1">
      <w:pPr>
        <w:pStyle w:val="09-Bodytext"/>
      </w:pPr>
    </w:p>
    <w:p w14:paraId="1A7D8161" w14:textId="77777777" w:rsidR="00AF51F1" w:rsidRDefault="00711D3C">
      <w:pPr>
        <w:pStyle w:val="09-Bodytext"/>
        <w:numPr>
          <w:ilvl w:val="0"/>
          <w:numId w:val="10"/>
        </w:numPr>
      </w:pPr>
      <w:r>
        <w:t>The level of net cash arising from operating activities is a key indicator of the extent to which the operations of the Board are funded by way of taxation and grant income or from service users and constituent authorities.</w:t>
      </w:r>
    </w:p>
    <w:p w14:paraId="5BD938F5" w14:textId="77777777" w:rsidR="00AF51F1" w:rsidRDefault="00711D3C">
      <w:pPr>
        <w:pStyle w:val="09-Bodytext"/>
        <w:numPr>
          <w:ilvl w:val="0"/>
          <w:numId w:val="10"/>
        </w:numPr>
      </w:pPr>
      <w:r>
        <w:t>Investing activities represent the extent to which cash outflows have been made for resources which are intended to contribute to the Board’s future service delivery.</w:t>
      </w:r>
    </w:p>
    <w:p w14:paraId="376AFD39" w14:textId="77777777" w:rsidR="00AF51F1" w:rsidRDefault="00711D3C">
      <w:pPr>
        <w:pStyle w:val="09-Bodytext"/>
        <w:numPr>
          <w:ilvl w:val="0"/>
          <w:numId w:val="10"/>
        </w:numPr>
      </w:pPr>
      <w:r>
        <w:t>There were no financing activities as the board had no requirement to borrow.</w:t>
      </w:r>
    </w:p>
    <w:p w14:paraId="1E8154F7" w14:textId="77777777" w:rsidR="00AF51F1" w:rsidRDefault="00AF51F1">
      <w:pPr>
        <w:pStyle w:val="09-Bodytext"/>
      </w:pPr>
    </w:p>
    <w:p w14:paraId="62A558BA" w14:textId="77777777" w:rsidR="00AF51F1" w:rsidRDefault="00711D3C">
      <w:pPr>
        <w:pStyle w:val="09-Bodytext"/>
      </w:pPr>
      <w:r>
        <w:t>Further analysis of movements is provided in the cash flow notes following the statement.</w:t>
      </w:r>
    </w:p>
    <w:p w14:paraId="7C49BEF8" w14:textId="77777777" w:rsidR="00AF51F1" w:rsidRDefault="00AF51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cs="Arial"/>
          <w:sz w:val="22"/>
          <w:szCs w:val="22"/>
          <w:shd w:val="clear" w:color="auto" w:fill="FFFF00"/>
        </w:rPr>
      </w:pPr>
    </w:p>
    <w:tbl>
      <w:tblPr>
        <w:tblW w:w="5000" w:type="pct"/>
        <w:tblCellMar>
          <w:left w:w="10" w:type="dxa"/>
          <w:right w:w="10" w:type="dxa"/>
        </w:tblCellMar>
        <w:tblLook w:val="0000" w:firstRow="0" w:lastRow="0" w:firstColumn="0" w:lastColumn="0" w:noHBand="0" w:noVBand="0"/>
      </w:tblPr>
      <w:tblGrid>
        <w:gridCol w:w="1024"/>
        <w:gridCol w:w="6980"/>
        <w:gridCol w:w="1012"/>
      </w:tblGrid>
      <w:tr w:rsidR="00AF51F1" w14:paraId="167E141A" w14:textId="77777777">
        <w:tc>
          <w:tcPr>
            <w:tcW w:w="1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02369" w14:textId="77777777" w:rsidR="00AF51F1" w:rsidRDefault="00711D3C">
            <w:pPr>
              <w:pStyle w:val="09-Bodytext"/>
              <w:jc w:val="right"/>
              <w:rPr>
                <w:b/>
                <w:bCs/>
              </w:rPr>
            </w:pPr>
            <w:r>
              <w:rPr>
                <w:b/>
                <w:bCs/>
              </w:rPr>
              <w:t>2020/21</w:t>
            </w:r>
          </w:p>
        </w:tc>
        <w:tc>
          <w:tcPr>
            <w:tcW w:w="6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B3B9A" w14:textId="77777777" w:rsidR="00AF51F1" w:rsidRDefault="00AF51F1">
            <w:pPr>
              <w:pStyle w:val="09-Bodytext"/>
              <w:rPr>
                <w:b/>
                <w:bCs/>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A4F39" w14:textId="77777777" w:rsidR="00AF51F1" w:rsidRDefault="00711D3C">
            <w:pPr>
              <w:pStyle w:val="09-Bodytext"/>
              <w:jc w:val="right"/>
              <w:rPr>
                <w:b/>
                <w:bCs/>
              </w:rPr>
            </w:pPr>
            <w:r>
              <w:rPr>
                <w:b/>
                <w:bCs/>
              </w:rPr>
              <w:t>2021/22</w:t>
            </w:r>
          </w:p>
        </w:tc>
      </w:tr>
      <w:tr w:rsidR="00AF51F1" w14:paraId="5F5B08E4" w14:textId="77777777">
        <w:tc>
          <w:tcPr>
            <w:tcW w:w="1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5ED7A" w14:textId="77777777" w:rsidR="00AF51F1" w:rsidRDefault="00711D3C">
            <w:pPr>
              <w:pStyle w:val="09-Bodytext"/>
              <w:jc w:val="right"/>
              <w:rPr>
                <w:b/>
                <w:bCs/>
              </w:rPr>
            </w:pPr>
            <w:r>
              <w:rPr>
                <w:b/>
                <w:bCs/>
              </w:rPr>
              <w:t>£000</w:t>
            </w:r>
          </w:p>
        </w:tc>
        <w:tc>
          <w:tcPr>
            <w:tcW w:w="6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45ED4" w14:textId="77777777" w:rsidR="00AF51F1" w:rsidRDefault="00AF51F1">
            <w:pPr>
              <w:pStyle w:val="09-Bodytext"/>
              <w:rPr>
                <w:b/>
                <w:bCs/>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6A815" w14:textId="77777777" w:rsidR="00AF51F1" w:rsidRDefault="00711D3C">
            <w:pPr>
              <w:pStyle w:val="09-Bodytext"/>
              <w:jc w:val="right"/>
              <w:rPr>
                <w:b/>
                <w:bCs/>
              </w:rPr>
            </w:pPr>
            <w:r>
              <w:rPr>
                <w:b/>
                <w:bCs/>
              </w:rPr>
              <w:t>£000</w:t>
            </w:r>
          </w:p>
        </w:tc>
      </w:tr>
      <w:tr w:rsidR="00AF51F1" w14:paraId="0296ABAF" w14:textId="77777777">
        <w:tc>
          <w:tcPr>
            <w:tcW w:w="1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0F5CF" w14:textId="77777777" w:rsidR="00AF51F1" w:rsidRDefault="00711D3C">
            <w:pPr>
              <w:pStyle w:val="09-Bodytext"/>
              <w:jc w:val="right"/>
            </w:pPr>
            <w:r>
              <w:t>(91)</w:t>
            </w:r>
          </w:p>
        </w:tc>
        <w:tc>
          <w:tcPr>
            <w:tcW w:w="6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2DE05" w14:textId="77777777" w:rsidR="00AF51F1" w:rsidRDefault="00711D3C">
            <w:pPr>
              <w:pStyle w:val="09-Bodytext"/>
            </w:pPr>
            <w:r>
              <w:t>Net deficit / (surplus) on the provision of services</w:t>
            </w: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C14CC" w14:textId="77777777" w:rsidR="00AF51F1" w:rsidRDefault="00711D3C">
            <w:pPr>
              <w:pStyle w:val="09-Bodytext"/>
              <w:jc w:val="right"/>
            </w:pPr>
            <w:r>
              <w:t>(363)</w:t>
            </w:r>
          </w:p>
        </w:tc>
      </w:tr>
      <w:tr w:rsidR="00AF51F1" w14:paraId="1C2B6B9A" w14:textId="77777777">
        <w:tc>
          <w:tcPr>
            <w:tcW w:w="1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50D52" w14:textId="77777777" w:rsidR="00AF51F1" w:rsidRDefault="00711D3C">
            <w:pPr>
              <w:pStyle w:val="09-Bodytext"/>
              <w:jc w:val="right"/>
            </w:pPr>
            <w:r>
              <w:t>692</w:t>
            </w:r>
          </w:p>
        </w:tc>
        <w:tc>
          <w:tcPr>
            <w:tcW w:w="6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CFE33" w14:textId="77777777" w:rsidR="00AF51F1" w:rsidRDefault="00711D3C">
            <w:pPr>
              <w:pStyle w:val="09-Bodytext"/>
            </w:pPr>
            <w:r>
              <w:t>Adjust net deficit / (surplus) on the provision of service for non-cash movements</w:t>
            </w: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0BB3B" w14:textId="77777777" w:rsidR="00AF51F1" w:rsidRDefault="00711D3C">
            <w:pPr>
              <w:pStyle w:val="09-Bodytext"/>
              <w:jc w:val="right"/>
            </w:pPr>
            <w:r>
              <w:t>477</w:t>
            </w:r>
          </w:p>
        </w:tc>
      </w:tr>
      <w:tr w:rsidR="00AF51F1" w14:paraId="357EE571" w14:textId="77777777">
        <w:tc>
          <w:tcPr>
            <w:tcW w:w="1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BAA04" w14:textId="77777777" w:rsidR="00AF51F1" w:rsidRDefault="00711D3C">
            <w:pPr>
              <w:pStyle w:val="09-Bodytext"/>
              <w:jc w:val="right"/>
            </w:pPr>
            <w:r>
              <w:t>2</w:t>
            </w:r>
          </w:p>
        </w:tc>
        <w:tc>
          <w:tcPr>
            <w:tcW w:w="6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648B3" w14:textId="77777777" w:rsidR="00AF51F1" w:rsidRDefault="00711D3C">
            <w:pPr>
              <w:pStyle w:val="09-Bodytext"/>
            </w:pPr>
            <w:r>
              <w:t>Adjust for items included in the net deficit / (surplus) on the provision of services that are investing and financing activities</w:t>
            </w: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FCE6C" w14:textId="77777777" w:rsidR="00AF51F1" w:rsidRDefault="00711D3C">
            <w:pPr>
              <w:pStyle w:val="09-Bodytext"/>
              <w:jc w:val="right"/>
            </w:pPr>
            <w:r>
              <w:t>1</w:t>
            </w:r>
          </w:p>
        </w:tc>
      </w:tr>
      <w:tr w:rsidR="00AF51F1" w14:paraId="3FF094A6" w14:textId="77777777">
        <w:tc>
          <w:tcPr>
            <w:tcW w:w="1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50294" w14:textId="77777777" w:rsidR="00AF51F1" w:rsidRDefault="00711D3C">
            <w:pPr>
              <w:pStyle w:val="09-Bodytext"/>
              <w:jc w:val="right"/>
              <w:rPr>
                <w:b/>
                <w:bCs/>
              </w:rPr>
            </w:pPr>
            <w:r>
              <w:rPr>
                <w:b/>
                <w:bCs/>
              </w:rPr>
              <w:t>603</w:t>
            </w:r>
          </w:p>
        </w:tc>
        <w:tc>
          <w:tcPr>
            <w:tcW w:w="6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0E27F" w14:textId="77777777" w:rsidR="00AF51F1" w:rsidRDefault="00711D3C">
            <w:pPr>
              <w:pStyle w:val="09-Bodytext"/>
              <w:rPr>
                <w:b/>
                <w:bCs/>
              </w:rPr>
            </w:pPr>
            <w:r>
              <w:rPr>
                <w:b/>
                <w:bCs/>
              </w:rPr>
              <w:t>Net cash flows from operating activities</w:t>
            </w: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E1035" w14:textId="77777777" w:rsidR="00AF51F1" w:rsidRDefault="00711D3C">
            <w:pPr>
              <w:pStyle w:val="09-Bodytext"/>
              <w:jc w:val="right"/>
              <w:rPr>
                <w:b/>
                <w:bCs/>
              </w:rPr>
            </w:pPr>
            <w:r>
              <w:rPr>
                <w:b/>
                <w:bCs/>
              </w:rPr>
              <w:t>115</w:t>
            </w:r>
          </w:p>
        </w:tc>
      </w:tr>
      <w:tr w:rsidR="00AF51F1" w14:paraId="17213B90" w14:textId="77777777">
        <w:tc>
          <w:tcPr>
            <w:tcW w:w="1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38484" w14:textId="77777777" w:rsidR="00AF51F1" w:rsidRDefault="00AF51F1">
            <w:pPr>
              <w:pStyle w:val="09-Bodytext"/>
              <w:jc w:val="right"/>
            </w:pPr>
          </w:p>
        </w:tc>
        <w:tc>
          <w:tcPr>
            <w:tcW w:w="6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F781F" w14:textId="77777777" w:rsidR="00AF51F1" w:rsidRDefault="00AF51F1">
            <w:pPr>
              <w:pStyle w:val="09-Bodytext"/>
            </w:pP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011A1" w14:textId="77777777" w:rsidR="00AF51F1" w:rsidRDefault="00AF51F1">
            <w:pPr>
              <w:pStyle w:val="09-Bodytext"/>
              <w:jc w:val="right"/>
            </w:pPr>
          </w:p>
        </w:tc>
      </w:tr>
      <w:tr w:rsidR="00AF51F1" w14:paraId="4B5E3BC6" w14:textId="77777777">
        <w:tc>
          <w:tcPr>
            <w:tcW w:w="1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6B044" w14:textId="77777777" w:rsidR="00AF51F1" w:rsidRDefault="00711D3C">
            <w:pPr>
              <w:pStyle w:val="09-Bodytext"/>
              <w:jc w:val="right"/>
            </w:pPr>
            <w:r>
              <w:t>(181)</w:t>
            </w:r>
          </w:p>
        </w:tc>
        <w:tc>
          <w:tcPr>
            <w:tcW w:w="6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5204E" w14:textId="77777777" w:rsidR="00AF51F1" w:rsidRDefault="00711D3C">
            <w:pPr>
              <w:pStyle w:val="09-Bodytext"/>
            </w:pPr>
            <w:r>
              <w:t>Investing Activities</w:t>
            </w: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53711" w14:textId="77777777" w:rsidR="00AF51F1" w:rsidRDefault="00711D3C">
            <w:pPr>
              <w:pStyle w:val="09-Bodytext"/>
              <w:jc w:val="right"/>
            </w:pPr>
            <w:r>
              <w:t>0</w:t>
            </w:r>
          </w:p>
        </w:tc>
      </w:tr>
      <w:tr w:rsidR="00AF51F1" w14:paraId="45A80093" w14:textId="77777777">
        <w:tc>
          <w:tcPr>
            <w:tcW w:w="1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80866" w14:textId="77777777" w:rsidR="00AF51F1" w:rsidRDefault="00711D3C">
            <w:pPr>
              <w:pStyle w:val="09-Bodytext"/>
              <w:jc w:val="right"/>
              <w:rPr>
                <w:b/>
                <w:bCs/>
              </w:rPr>
            </w:pPr>
            <w:r>
              <w:rPr>
                <w:b/>
                <w:bCs/>
              </w:rPr>
              <w:t>422</w:t>
            </w:r>
          </w:p>
        </w:tc>
        <w:tc>
          <w:tcPr>
            <w:tcW w:w="6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7195C" w14:textId="77777777" w:rsidR="00AF51F1" w:rsidRDefault="00711D3C">
            <w:pPr>
              <w:pStyle w:val="09-Bodytext"/>
              <w:rPr>
                <w:b/>
                <w:bCs/>
              </w:rPr>
            </w:pPr>
            <w:r>
              <w:rPr>
                <w:b/>
                <w:bCs/>
              </w:rPr>
              <w:t>Net increase or decrease in cash and cash equivalents</w:t>
            </w: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48BE7" w14:textId="77777777" w:rsidR="00AF51F1" w:rsidRDefault="00711D3C">
            <w:pPr>
              <w:pStyle w:val="09-Bodytext"/>
              <w:jc w:val="right"/>
              <w:rPr>
                <w:b/>
                <w:bCs/>
              </w:rPr>
            </w:pPr>
            <w:r>
              <w:rPr>
                <w:b/>
                <w:bCs/>
              </w:rPr>
              <w:t>115</w:t>
            </w:r>
          </w:p>
        </w:tc>
      </w:tr>
      <w:tr w:rsidR="00AF51F1" w14:paraId="604B066B" w14:textId="77777777">
        <w:tc>
          <w:tcPr>
            <w:tcW w:w="1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AD135" w14:textId="77777777" w:rsidR="00AF51F1" w:rsidRDefault="00AF51F1">
            <w:pPr>
              <w:pStyle w:val="09-Bodytext"/>
              <w:jc w:val="right"/>
            </w:pPr>
          </w:p>
        </w:tc>
        <w:tc>
          <w:tcPr>
            <w:tcW w:w="6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8B4DF" w14:textId="77777777" w:rsidR="00AF51F1" w:rsidRDefault="00AF51F1">
            <w:pPr>
              <w:pStyle w:val="09-Bodytext"/>
            </w:pP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FA7F4" w14:textId="77777777" w:rsidR="00AF51F1" w:rsidRDefault="00AF51F1">
            <w:pPr>
              <w:pStyle w:val="09-Bodytext"/>
              <w:jc w:val="right"/>
            </w:pPr>
          </w:p>
        </w:tc>
      </w:tr>
      <w:tr w:rsidR="00AF51F1" w14:paraId="33DC3BF3" w14:textId="77777777">
        <w:tc>
          <w:tcPr>
            <w:tcW w:w="1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21B5A" w14:textId="77777777" w:rsidR="00AF51F1" w:rsidRDefault="00711D3C">
            <w:pPr>
              <w:pStyle w:val="09-Bodytext"/>
              <w:jc w:val="right"/>
            </w:pPr>
            <w:r>
              <w:t>1,005</w:t>
            </w:r>
          </w:p>
        </w:tc>
        <w:tc>
          <w:tcPr>
            <w:tcW w:w="6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0156D" w14:textId="77777777" w:rsidR="00AF51F1" w:rsidRDefault="00711D3C">
            <w:pPr>
              <w:pStyle w:val="09-Bodytext"/>
            </w:pPr>
            <w:r>
              <w:t xml:space="preserve">Cash and cash equivalents </w:t>
            </w:r>
            <w:proofErr w:type="gramStart"/>
            <w:r>
              <w:t>at</w:t>
            </w:r>
            <w:proofErr w:type="gramEnd"/>
            <w:r>
              <w:t xml:space="preserve"> 1 April</w:t>
            </w: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2C63F" w14:textId="77777777" w:rsidR="00AF51F1" w:rsidRDefault="00711D3C">
            <w:pPr>
              <w:pStyle w:val="09-Bodytext"/>
              <w:jc w:val="right"/>
            </w:pPr>
            <w:r>
              <w:t>1,427</w:t>
            </w:r>
          </w:p>
        </w:tc>
      </w:tr>
      <w:tr w:rsidR="00AF51F1" w14:paraId="1335A16B" w14:textId="77777777">
        <w:tc>
          <w:tcPr>
            <w:tcW w:w="1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4A3AF" w14:textId="77777777" w:rsidR="00AF51F1" w:rsidRDefault="00711D3C">
            <w:pPr>
              <w:pStyle w:val="09-Bodytext"/>
              <w:jc w:val="right"/>
              <w:rPr>
                <w:b/>
                <w:bCs/>
              </w:rPr>
            </w:pPr>
            <w:r>
              <w:rPr>
                <w:b/>
                <w:bCs/>
              </w:rPr>
              <w:t>1,427</w:t>
            </w:r>
          </w:p>
        </w:tc>
        <w:tc>
          <w:tcPr>
            <w:tcW w:w="6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83237" w14:textId="77777777" w:rsidR="00AF51F1" w:rsidRDefault="00711D3C">
            <w:pPr>
              <w:pStyle w:val="09-Bodytext"/>
            </w:pPr>
            <w:r>
              <w:t xml:space="preserve">Cash and cash equivalents </w:t>
            </w:r>
            <w:proofErr w:type="gramStart"/>
            <w:r>
              <w:t>at</w:t>
            </w:r>
            <w:proofErr w:type="gramEnd"/>
            <w:r>
              <w:t xml:space="preserve"> 31 March</w:t>
            </w: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B1FF3" w14:textId="77777777" w:rsidR="00AF51F1" w:rsidRDefault="00711D3C">
            <w:pPr>
              <w:pStyle w:val="09-Bodytext"/>
              <w:jc w:val="right"/>
              <w:rPr>
                <w:b/>
                <w:bCs/>
              </w:rPr>
            </w:pPr>
            <w:r>
              <w:rPr>
                <w:b/>
                <w:bCs/>
              </w:rPr>
              <w:t>1,542</w:t>
            </w:r>
          </w:p>
        </w:tc>
      </w:tr>
    </w:tbl>
    <w:p w14:paraId="0B7E4E55" w14:textId="77777777" w:rsidR="00AF51F1" w:rsidRDefault="00AF51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2"/>
          <w:szCs w:val="22"/>
          <w:shd w:val="clear" w:color="auto" w:fill="FFFF00"/>
        </w:rPr>
      </w:pPr>
    </w:p>
    <w:p w14:paraId="078FB8CC" w14:textId="77777777" w:rsidR="00AF51F1" w:rsidRDefault="00711D3C">
      <w:pPr>
        <w:pStyle w:val="09-Bodytext"/>
        <w:rPr>
          <w:b/>
          <w:bCs/>
        </w:rPr>
      </w:pPr>
      <w:r>
        <w:rPr>
          <w:b/>
          <w:bCs/>
        </w:rPr>
        <w:t xml:space="preserve">Cash Flow Statement Note – </w:t>
      </w:r>
      <w:proofErr w:type="gramStart"/>
      <w:r>
        <w:rPr>
          <w:b/>
          <w:bCs/>
        </w:rPr>
        <w:t>Non Cash</w:t>
      </w:r>
      <w:proofErr w:type="gramEnd"/>
      <w:r>
        <w:rPr>
          <w:b/>
          <w:bCs/>
        </w:rPr>
        <w:t xml:space="preserve"> Movements</w:t>
      </w:r>
    </w:p>
    <w:p w14:paraId="2FB11A24" w14:textId="77777777" w:rsidR="00AF51F1" w:rsidRDefault="00AF51F1">
      <w:pPr>
        <w:pStyle w:val="09-Bodytext"/>
      </w:pPr>
    </w:p>
    <w:p w14:paraId="38449B1D" w14:textId="77777777" w:rsidR="00AF51F1" w:rsidRDefault="00711D3C">
      <w:pPr>
        <w:pStyle w:val="09-Bodytext"/>
      </w:pPr>
      <w:r>
        <w:t>The balance of non-cash movements is made up of the following elements:</w:t>
      </w:r>
    </w:p>
    <w:p w14:paraId="3AFF7EAD" w14:textId="77777777" w:rsidR="00AF51F1" w:rsidRDefault="00AF51F1">
      <w:pPr>
        <w:pStyle w:val="09-Bodytext"/>
        <w:rPr>
          <w:shd w:val="clear" w:color="auto" w:fill="FFFF00"/>
        </w:rPr>
      </w:pPr>
    </w:p>
    <w:tbl>
      <w:tblPr>
        <w:tblW w:w="5000" w:type="pct"/>
        <w:tblCellMar>
          <w:left w:w="10" w:type="dxa"/>
          <w:right w:w="10" w:type="dxa"/>
        </w:tblCellMar>
        <w:tblLook w:val="0000" w:firstRow="0" w:lastRow="0" w:firstColumn="0" w:lastColumn="0" w:noHBand="0" w:noVBand="0"/>
      </w:tblPr>
      <w:tblGrid>
        <w:gridCol w:w="1024"/>
        <w:gridCol w:w="6980"/>
        <w:gridCol w:w="1012"/>
      </w:tblGrid>
      <w:tr w:rsidR="00AF51F1" w14:paraId="055F24AA" w14:textId="77777777">
        <w:tc>
          <w:tcPr>
            <w:tcW w:w="1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B9633" w14:textId="77777777" w:rsidR="00AF51F1" w:rsidRDefault="00711D3C">
            <w:pPr>
              <w:pStyle w:val="09-Bodytext"/>
              <w:jc w:val="right"/>
              <w:rPr>
                <w:b/>
                <w:bCs/>
              </w:rPr>
            </w:pPr>
            <w:r>
              <w:rPr>
                <w:b/>
                <w:bCs/>
              </w:rPr>
              <w:t>2020/21</w:t>
            </w:r>
          </w:p>
        </w:tc>
        <w:tc>
          <w:tcPr>
            <w:tcW w:w="6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E1D30" w14:textId="77777777" w:rsidR="00AF51F1" w:rsidRDefault="00AF51F1">
            <w:pPr>
              <w:pStyle w:val="09-Bodytext"/>
              <w:rPr>
                <w:b/>
                <w:bCs/>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27B40" w14:textId="77777777" w:rsidR="00AF51F1" w:rsidRDefault="00711D3C">
            <w:pPr>
              <w:pStyle w:val="09-Bodytext"/>
              <w:jc w:val="right"/>
              <w:rPr>
                <w:b/>
                <w:bCs/>
              </w:rPr>
            </w:pPr>
            <w:r>
              <w:rPr>
                <w:b/>
                <w:bCs/>
              </w:rPr>
              <w:t>2021/22</w:t>
            </w:r>
          </w:p>
        </w:tc>
      </w:tr>
      <w:tr w:rsidR="00AF51F1" w14:paraId="139A1410" w14:textId="77777777">
        <w:tc>
          <w:tcPr>
            <w:tcW w:w="1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E3C24" w14:textId="77777777" w:rsidR="00AF51F1" w:rsidRDefault="00711D3C">
            <w:pPr>
              <w:pStyle w:val="09-Bodytext"/>
              <w:jc w:val="right"/>
              <w:rPr>
                <w:b/>
                <w:bCs/>
              </w:rPr>
            </w:pPr>
            <w:r>
              <w:rPr>
                <w:b/>
                <w:bCs/>
              </w:rPr>
              <w:t>£000</w:t>
            </w:r>
          </w:p>
        </w:tc>
        <w:tc>
          <w:tcPr>
            <w:tcW w:w="6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25F543" w14:textId="77777777" w:rsidR="00AF51F1" w:rsidRDefault="00AF51F1">
            <w:pPr>
              <w:pStyle w:val="09-Bodytext"/>
              <w:rPr>
                <w:b/>
                <w:bCs/>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EF06C" w14:textId="77777777" w:rsidR="00AF51F1" w:rsidRDefault="00711D3C">
            <w:pPr>
              <w:pStyle w:val="09-Bodytext"/>
              <w:jc w:val="right"/>
              <w:rPr>
                <w:b/>
                <w:bCs/>
              </w:rPr>
            </w:pPr>
            <w:r>
              <w:rPr>
                <w:b/>
                <w:bCs/>
              </w:rPr>
              <w:t>£000</w:t>
            </w:r>
          </w:p>
        </w:tc>
      </w:tr>
      <w:tr w:rsidR="00AF51F1" w14:paraId="57B3F3ED" w14:textId="77777777">
        <w:tc>
          <w:tcPr>
            <w:tcW w:w="1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05F77" w14:textId="77777777" w:rsidR="00AF51F1" w:rsidRDefault="00711D3C">
            <w:pPr>
              <w:pStyle w:val="09-Bodytext"/>
              <w:jc w:val="right"/>
            </w:pPr>
            <w:r>
              <w:t>6</w:t>
            </w:r>
          </w:p>
        </w:tc>
        <w:tc>
          <w:tcPr>
            <w:tcW w:w="6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B0DCE" w14:textId="77777777" w:rsidR="00AF51F1" w:rsidRDefault="00711D3C">
            <w:pPr>
              <w:pStyle w:val="09-Bodytext"/>
            </w:pPr>
            <w:r>
              <w:t xml:space="preserve">Depreciation, </w:t>
            </w:r>
            <w:proofErr w:type="gramStart"/>
            <w:r>
              <w:t>impairment</w:t>
            </w:r>
            <w:proofErr w:type="gramEnd"/>
            <w:r>
              <w:t xml:space="preserve"> and amortisation of assets</w:t>
            </w: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D6CCE" w14:textId="77777777" w:rsidR="00AF51F1" w:rsidRDefault="00711D3C">
            <w:pPr>
              <w:pStyle w:val="09-Bodytext"/>
              <w:jc w:val="right"/>
            </w:pPr>
            <w:r>
              <w:t>21</w:t>
            </w:r>
          </w:p>
        </w:tc>
      </w:tr>
      <w:tr w:rsidR="00AF51F1" w14:paraId="03884140" w14:textId="77777777">
        <w:tc>
          <w:tcPr>
            <w:tcW w:w="1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1A3D0" w14:textId="77777777" w:rsidR="00AF51F1" w:rsidRDefault="00711D3C">
            <w:pPr>
              <w:pStyle w:val="09-Bodytext"/>
              <w:jc w:val="right"/>
            </w:pPr>
            <w:r>
              <w:t>(21)</w:t>
            </w:r>
          </w:p>
        </w:tc>
        <w:tc>
          <w:tcPr>
            <w:tcW w:w="6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63ECD" w14:textId="77777777" w:rsidR="00AF51F1" w:rsidRDefault="00711D3C">
            <w:pPr>
              <w:pStyle w:val="09-Bodytext"/>
            </w:pPr>
            <w:r>
              <w:t>Movement in Debtors</w:t>
            </w: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408F3" w14:textId="77777777" w:rsidR="00AF51F1" w:rsidRDefault="00711D3C">
            <w:pPr>
              <w:pStyle w:val="09-Bodytext"/>
              <w:jc w:val="right"/>
            </w:pPr>
            <w:r>
              <w:t>(14)</w:t>
            </w:r>
          </w:p>
        </w:tc>
      </w:tr>
      <w:tr w:rsidR="00AF51F1" w14:paraId="7C2DA33E" w14:textId="77777777">
        <w:tc>
          <w:tcPr>
            <w:tcW w:w="1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BE81A" w14:textId="77777777" w:rsidR="00AF51F1" w:rsidRDefault="00711D3C">
            <w:pPr>
              <w:pStyle w:val="09-Bodytext"/>
              <w:jc w:val="right"/>
            </w:pPr>
            <w:r>
              <w:t>263</w:t>
            </w:r>
          </w:p>
        </w:tc>
        <w:tc>
          <w:tcPr>
            <w:tcW w:w="6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3FB99" w14:textId="77777777" w:rsidR="00AF51F1" w:rsidRDefault="00711D3C">
            <w:pPr>
              <w:pStyle w:val="09-Bodytext"/>
            </w:pPr>
            <w:r>
              <w:t>Movement in Creditors</w:t>
            </w: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7E15E" w14:textId="77777777" w:rsidR="00AF51F1" w:rsidRDefault="00711D3C">
            <w:pPr>
              <w:pStyle w:val="09-Bodytext"/>
              <w:jc w:val="right"/>
            </w:pPr>
            <w:r>
              <w:t>(223)</w:t>
            </w:r>
          </w:p>
        </w:tc>
      </w:tr>
      <w:tr w:rsidR="00AF51F1" w14:paraId="5AADD626" w14:textId="77777777">
        <w:tc>
          <w:tcPr>
            <w:tcW w:w="1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C8864" w14:textId="77777777" w:rsidR="00AF51F1" w:rsidRDefault="00711D3C">
            <w:pPr>
              <w:pStyle w:val="09-Bodytext"/>
              <w:jc w:val="right"/>
            </w:pPr>
            <w:r>
              <w:t>361</w:t>
            </w:r>
          </w:p>
        </w:tc>
        <w:tc>
          <w:tcPr>
            <w:tcW w:w="6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962BC" w14:textId="77777777" w:rsidR="00AF51F1" w:rsidRDefault="00711D3C">
            <w:pPr>
              <w:pStyle w:val="09-Bodytext"/>
            </w:pPr>
            <w:r>
              <w:t>Movement in Pension Liability</w:t>
            </w: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D8A42" w14:textId="77777777" w:rsidR="00AF51F1" w:rsidRDefault="00711D3C">
            <w:pPr>
              <w:pStyle w:val="09-Bodytext"/>
              <w:jc w:val="right"/>
            </w:pPr>
            <w:r>
              <w:t>725</w:t>
            </w:r>
          </w:p>
        </w:tc>
      </w:tr>
      <w:tr w:rsidR="00AF51F1" w14:paraId="40E898BA" w14:textId="77777777">
        <w:tc>
          <w:tcPr>
            <w:tcW w:w="1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D5748" w14:textId="77777777" w:rsidR="00AF51F1" w:rsidRDefault="00711D3C">
            <w:pPr>
              <w:pStyle w:val="09-Bodytext"/>
              <w:jc w:val="right"/>
            </w:pPr>
            <w:r>
              <w:t>85</w:t>
            </w:r>
          </w:p>
        </w:tc>
        <w:tc>
          <w:tcPr>
            <w:tcW w:w="6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A3913" w14:textId="77777777" w:rsidR="00AF51F1" w:rsidRDefault="00711D3C">
            <w:pPr>
              <w:pStyle w:val="09-Bodytext"/>
            </w:pPr>
            <w:r>
              <w:t xml:space="preserve">Movement in the Employee Statutory Adjustment Account </w:t>
            </w: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C7887" w14:textId="77777777" w:rsidR="00AF51F1" w:rsidRDefault="00711D3C">
            <w:pPr>
              <w:pStyle w:val="09-Bodytext"/>
              <w:jc w:val="right"/>
            </w:pPr>
            <w:r>
              <w:t>(31)</w:t>
            </w:r>
          </w:p>
        </w:tc>
      </w:tr>
      <w:tr w:rsidR="00AF51F1" w14:paraId="021612F3" w14:textId="77777777">
        <w:tc>
          <w:tcPr>
            <w:tcW w:w="1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7EE90" w14:textId="77777777" w:rsidR="00AF51F1" w:rsidRDefault="00711D3C">
            <w:pPr>
              <w:pStyle w:val="09-Bodytext"/>
              <w:jc w:val="right"/>
            </w:pPr>
            <w:r>
              <w:t>(2)</w:t>
            </w:r>
          </w:p>
        </w:tc>
        <w:tc>
          <w:tcPr>
            <w:tcW w:w="6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7DFBC" w14:textId="77777777" w:rsidR="00AF51F1" w:rsidRDefault="00711D3C">
            <w:pPr>
              <w:pStyle w:val="09-Bodytext"/>
            </w:pPr>
            <w:r>
              <w:t xml:space="preserve">Interest received </w:t>
            </w: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EE579" w14:textId="77777777" w:rsidR="00AF51F1" w:rsidRDefault="00711D3C">
            <w:pPr>
              <w:pStyle w:val="09-Bodytext"/>
              <w:jc w:val="right"/>
            </w:pPr>
            <w:r>
              <w:t>(1)</w:t>
            </w:r>
          </w:p>
        </w:tc>
      </w:tr>
      <w:tr w:rsidR="00AF51F1" w14:paraId="0CF8BCDD" w14:textId="77777777">
        <w:tc>
          <w:tcPr>
            <w:tcW w:w="1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1AC67" w14:textId="77777777" w:rsidR="00AF51F1" w:rsidRDefault="00711D3C">
            <w:pPr>
              <w:pStyle w:val="09-Bodytext"/>
              <w:jc w:val="right"/>
              <w:rPr>
                <w:b/>
                <w:bCs/>
              </w:rPr>
            </w:pPr>
            <w:r>
              <w:rPr>
                <w:b/>
                <w:bCs/>
              </w:rPr>
              <w:t>692</w:t>
            </w:r>
          </w:p>
        </w:tc>
        <w:tc>
          <w:tcPr>
            <w:tcW w:w="6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FAC45" w14:textId="77777777" w:rsidR="00AF51F1" w:rsidRDefault="00711D3C">
            <w:pPr>
              <w:pStyle w:val="09-Bodytext"/>
              <w:rPr>
                <w:b/>
                <w:bCs/>
              </w:rPr>
            </w:pPr>
            <w:r>
              <w:rPr>
                <w:b/>
                <w:bCs/>
              </w:rPr>
              <w:t>Net Cash flows from the provision of services for non-cash movements</w:t>
            </w: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08AC7" w14:textId="77777777" w:rsidR="00AF51F1" w:rsidRDefault="00711D3C">
            <w:pPr>
              <w:pStyle w:val="09-Bodytext"/>
              <w:jc w:val="right"/>
              <w:rPr>
                <w:b/>
                <w:bCs/>
              </w:rPr>
            </w:pPr>
            <w:r>
              <w:rPr>
                <w:b/>
                <w:bCs/>
              </w:rPr>
              <w:t>477</w:t>
            </w:r>
          </w:p>
        </w:tc>
      </w:tr>
    </w:tbl>
    <w:p w14:paraId="3D722DDF" w14:textId="77777777" w:rsidR="00AF51F1" w:rsidRDefault="00AF51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2"/>
          <w:szCs w:val="22"/>
          <w:shd w:val="clear" w:color="auto" w:fill="FFFF00"/>
        </w:rPr>
      </w:pPr>
    </w:p>
    <w:p w14:paraId="276CF04F" w14:textId="4538F8FC" w:rsidR="005351E2" w:rsidRDefault="005351E2">
      <w:pPr>
        <w:suppressAutoHyphens w:val="0"/>
        <w:rPr>
          <w:rFonts w:cs="Arial"/>
          <w:b/>
          <w:sz w:val="22"/>
          <w:szCs w:val="22"/>
          <w:shd w:val="clear" w:color="auto" w:fill="FFFF00"/>
        </w:rPr>
      </w:pPr>
      <w:r>
        <w:rPr>
          <w:rFonts w:cs="Arial"/>
          <w:b/>
          <w:sz w:val="22"/>
          <w:szCs w:val="22"/>
          <w:shd w:val="clear" w:color="auto" w:fill="FFFF00"/>
        </w:rPr>
        <w:br w:type="page"/>
      </w:r>
    </w:p>
    <w:p w14:paraId="0B292B64" w14:textId="77777777" w:rsidR="00AF51F1" w:rsidRDefault="00711D3C">
      <w:pPr>
        <w:pStyle w:val="09-Bodytext"/>
        <w:rPr>
          <w:b/>
          <w:bCs/>
        </w:rPr>
      </w:pPr>
      <w:r>
        <w:rPr>
          <w:b/>
          <w:bCs/>
        </w:rPr>
        <w:lastRenderedPageBreak/>
        <w:t>Cash Flow Statement Note – Operating Activities</w:t>
      </w:r>
    </w:p>
    <w:p w14:paraId="45725612" w14:textId="77777777" w:rsidR="00AF51F1" w:rsidRDefault="00AF51F1">
      <w:pPr>
        <w:pStyle w:val="09-Bodytext"/>
      </w:pPr>
    </w:p>
    <w:p w14:paraId="4E5CD9F6" w14:textId="77777777" w:rsidR="00AF51F1" w:rsidRDefault="00711D3C">
      <w:pPr>
        <w:pStyle w:val="09-Bodytext"/>
      </w:pPr>
      <w:r>
        <w:t>The cash flows for operating activities include the following items:</w:t>
      </w:r>
    </w:p>
    <w:p w14:paraId="5B22A202" w14:textId="77777777" w:rsidR="00AF51F1" w:rsidRDefault="00AF51F1">
      <w:pPr>
        <w:pStyle w:val="09-Bodytext"/>
        <w:rPr>
          <w:shd w:val="clear" w:color="auto" w:fill="FFFF00"/>
        </w:rPr>
      </w:pPr>
    </w:p>
    <w:tbl>
      <w:tblPr>
        <w:tblW w:w="9634" w:type="dxa"/>
        <w:tblCellMar>
          <w:left w:w="10" w:type="dxa"/>
          <w:right w:w="10" w:type="dxa"/>
        </w:tblCellMar>
        <w:tblLook w:val="0000" w:firstRow="0" w:lastRow="0" w:firstColumn="0" w:lastColumn="0" w:noHBand="0" w:noVBand="0"/>
      </w:tblPr>
      <w:tblGrid>
        <w:gridCol w:w="1129"/>
        <w:gridCol w:w="7493"/>
        <w:gridCol w:w="1012"/>
      </w:tblGrid>
      <w:tr w:rsidR="00AF51F1" w14:paraId="0FE6E959" w14:textId="77777777">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E194A" w14:textId="77777777" w:rsidR="00AF51F1" w:rsidRDefault="00711D3C">
            <w:pPr>
              <w:pStyle w:val="09-Bodytext"/>
              <w:jc w:val="right"/>
              <w:rPr>
                <w:b/>
                <w:bCs/>
              </w:rPr>
            </w:pPr>
            <w:r>
              <w:rPr>
                <w:b/>
                <w:bCs/>
              </w:rPr>
              <w:t>2020/21</w:t>
            </w:r>
          </w:p>
        </w:tc>
        <w:tc>
          <w:tcPr>
            <w:tcW w:w="7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D21AB" w14:textId="77777777" w:rsidR="00AF51F1" w:rsidRDefault="00AF51F1">
            <w:pPr>
              <w:pStyle w:val="09-Bodytext"/>
              <w:rPr>
                <w:b/>
                <w:bCs/>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18BA3" w14:textId="77777777" w:rsidR="00AF51F1" w:rsidRDefault="00711D3C">
            <w:pPr>
              <w:pStyle w:val="09-Bodytext"/>
              <w:jc w:val="right"/>
              <w:rPr>
                <w:b/>
                <w:bCs/>
              </w:rPr>
            </w:pPr>
            <w:r>
              <w:rPr>
                <w:b/>
                <w:bCs/>
              </w:rPr>
              <w:t>2021/22</w:t>
            </w:r>
          </w:p>
        </w:tc>
      </w:tr>
      <w:tr w:rsidR="00AF51F1" w14:paraId="4017E0ED" w14:textId="77777777">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2BBD9" w14:textId="77777777" w:rsidR="00AF51F1" w:rsidRDefault="00711D3C">
            <w:pPr>
              <w:pStyle w:val="09-Bodytext"/>
              <w:jc w:val="right"/>
              <w:rPr>
                <w:b/>
                <w:bCs/>
              </w:rPr>
            </w:pPr>
            <w:r>
              <w:rPr>
                <w:b/>
                <w:bCs/>
              </w:rPr>
              <w:t>£000</w:t>
            </w:r>
          </w:p>
        </w:tc>
        <w:tc>
          <w:tcPr>
            <w:tcW w:w="7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D365F" w14:textId="77777777" w:rsidR="00AF51F1" w:rsidRDefault="00AF51F1">
            <w:pPr>
              <w:pStyle w:val="09-Bodytext"/>
              <w:rPr>
                <w:b/>
                <w:bCs/>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B9960" w14:textId="77777777" w:rsidR="00AF51F1" w:rsidRDefault="00711D3C">
            <w:pPr>
              <w:pStyle w:val="09-Bodytext"/>
              <w:jc w:val="right"/>
              <w:rPr>
                <w:b/>
                <w:bCs/>
              </w:rPr>
            </w:pPr>
            <w:r>
              <w:rPr>
                <w:b/>
                <w:bCs/>
              </w:rPr>
              <w:t>£000</w:t>
            </w:r>
          </w:p>
        </w:tc>
      </w:tr>
      <w:tr w:rsidR="00AF51F1" w14:paraId="0511EE03" w14:textId="77777777">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CB0E6" w14:textId="77777777" w:rsidR="00AF51F1" w:rsidRDefault="00711D3C">
            <w:pPr>
              <w:pStyle w:val="09-Bodytext"/>
              <w:jc w:val="right"/>
            </w:pPr>
            <w:r>
              <w:t>2</w:t>
            </w:r>
          </w:p>
        </w:tc>
        <w:tc>
          <w:tcPr>
            <w:tcW w:w="7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B485D" w14:textId="77777777" w:rsidR="00AF51F1" w:rsidRDefault="00711D3C">
            <w:pPr>
              <w:pStyle w:val="09-Bodytext"/>
            </w:pPr>
            <w:r>
              <w:t>Interest received</w:t>
            </w: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3E556" w14:textId="77777777" w:rsidR="00AF51F1" w:rsidRDefault="00711D3C">
            <w:pPr>
              <w:pStyle w:val="09-Bodytext"/>
              <w:jc w:val="right"/>
            </w:pPr>
            <w:r>
              <w:t>1</w:t>
            </w:r>
          </w:p>
        </w:tc>
      </w:tr>
      <w:tr w:rsidR="00AF51F1" w14:paraId="39414979" w14:textId="77777777">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48D6F" w14:textId="77777777" w:rsidR="00AF51F1" w:rsidRDefault="00711D3C">
            <w:pPr>
              <w:pStyle w:val="09-Bodytext"/>
              <w:jc w:val="right"/>
            </w:pPr>
            <w:r>
              <w:t>0</w:t>
            </w:r>
          </w:p>
        </w:tc>
        <w:tc>
          <w:tcPr>
            <w:tcW w:w="7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129279" w14:textId="77777777" w:rsidR="00AF51F1" w:rsidRDefault="00711D3C">
            <w:pPr>
              <w:pStyle w:val="09-Bodytext"/>
            </w:pPr>
            <w:r>
              <w:t>Interest paid</w:t>
            </w: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9F9CF" w14:textId="77777777" w:rsidR="00AF51F1" w:rsidRDefault="00711D3C">
            <w:pPr>
              <w:pStyle w:val="09-Bodytext"/>
              <w:jc w:val="right"/>
            </w:pPr>
            <w:r>
              <w:t>0</w:t>
            </w:r>
          </w:p>
        </w:tc>
      </w:tr>
      <w:tr w:rsidR="00AF51F1" w14:paraId="772351D5" w14:textId="77777777">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C878B" w14:textId="77777777" w:rsidR="00AF51F1" w:rsidRDefault="00711D3C">
            <w:pPr>
              <w:pStyle w:val="09-Bodytext"/>
              <w:jc w:val="right"/>
              <w:rPr>
                <w:b/>
                <w:bCs/>
              </w:rPr>
            </w:pPr>
            <w:r>
              <w:rPr>
                <w:b/>
                <w:bCs/>
              </w:rPr>
              <w:t>2</w:t>
            </w:r>
          </w:p>
        </w:tc>
        <w:tc>
          <w:tcPr>
            <w:tcW w:w="7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D89825" w14:textId="77777777" w:rsidR="00AF51F1" w:rsidRDefault="00711D3C">
            <w:pPr>
              <w:pStyle w:val="09-Bodytext"/>
              <w:rPr>
                <w:b/>
                <w:bCs/>
              </w:rPr>
            </w:pPr>
            <w:r>
              <w:rPr>
                <w:b/>
                <w:bCs/>
              </w:rPr>
              <w:t>Net cash flows from operating activities</w:t>
            </w: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18334" w14:textId="77777777" w:rsidR="00AF51F1" w:rsidRDefault="00711D3C">
            <w:pPr>
              <w:pStyle w:val="09-Bodytext"/>
              <w:jc w:val="right"/>
              <w:rPr>
                <w:b/>
                <w:bCs/>
              </w:rPr>
            </w:pPr>
            <w:r>
              <w:rPr>
                <w:b/>
                <w:bCs/>
              </w:rPr>
              <w:t>1</w:t>
            </w:r>
          </w:p>
        </w:tc>
      </w:tr>
    </w:tbl>
    <w:p w14:paraId="21074075" w14:textId="77777777" w:rsidR="00AF51F1" w:rsidRDefault="00AF51F1">
      <w:pPr>
        <w:pStyle w:val="09-Bodytext"/>
        <w:rPr>
          <w:shd w:val="clear" w:color="auto" w:fill="FFFF00"/>
        </w:rPr>
      </w:pPr>
    </w:p>
    <w:p w14:paraId="2E408785" w14:textId="77777777" w:rsidR="00AF51F1" w:rsidRDefault="00AF51F1">
      <w:pPr>
        <w:pStyle w:val="09-Bodytext"/>
        <w:rPr>
          <w:shd w:val="clear" w:color="auto" w:fill="FFFF00"/>
        </w:rPr>
      </w:pPr>
    </w:p>
    <w:p w14:paraId="7C9BC9F0" w14:textId="77777777" w:rsidR="00AF51F1" w:rsidRDefault="00711D3C">
      <w:pPr>
        <w:pStyle w:val="09-Bodytext"/>
        <w:rPr>
          <w:b/>
          <w:bCs/>
        </w:rPr>
      </w:pPr>
      <w:r>
        <w:rPr>
          <w:b/>
          <w:bCs/>
        </w:rPr>
        <w:t>Cash Flow Statement Note – Cash and Cash Equivalents</w:t>
      </w:r>
    </w:p>
    <w:p w14:paraId="7F9EE71B" w14:textId="77777777" w:rsidR="00AF51F1" w:rsidRDefault="00AF51F1">
      <w:pPr>
        <w:pStyle w:val="09-Bodytext"/>
      </w:pPr>
    </w:p>
    <w:p w14:paraId="0E14FECF" w14:textId="77777777" w:rsidR="00AF51F1" w:rsidRDefault="00711D3C">
      <w:pPr>
        <w:pStyle w:val="09-Bodytext"/>
      </w:pPr>
      <w:r>
        <w:t>The balance of Cash and Cash Equivalents is made up of the following elements:</w:t>
      </w:r>
    </w:p>
    <w:p w14:paraId="567FF263" w14:textId="77777777" w:rsidR="00AF51F1" w:rsidRDefault="00AF51F1">
      <w:pPr>
        <w:pStyle w:val="09-Bodytext"/>
        <w:rPr>
          <w:shd w:val="clear" w:color="auto" w:fill="FFFF00"/>
        </w:rPr>
      </w:pPr>
    </w:p>
    <w:tbl>
      <w:tblPr>
        <w:tblW w:w="9634" w:type="dxa"/>
        <w:tblCellMar>
          <w:left w:w="10" w:type="dxa"/>
          <w:right w:w="10" w:type="dxa"/>
        </w:tblCellMar>
        <w:tblLook w:val="0000" w:firstRow="0" w:lastRow="0" w:firstColumn="0" w:lastColumn="0" w:noHBand="0" w:noVBand="0"/>
      </w:tblPr>
      <w:tblGrid>
        <w:gridCol w:w="1129"/>
        <w:gridCol w:w="7493"/>
        <w:gridCol w:w="1012"/>
      </w:tblGrid>
      <w:tr w:rsidR="00AF51F1" w14:paraId="6360DC6B" w14:textId="77777777">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299BC" w14:textId="77777777" w:rsidR="00AF51F1" w:rsidRDefault="00711D3C">
            <w:pPr>
              <w:pStyle w:val="09-Bodytext"/>
              <w:jc w:val="right"/>
              <w:rPr>
                <w:b/>
                <w:bCs/>
              </w:rPr>
            </w:pPr>
            <w:r>
              <w:rPr>
                <w:b/>
                <w:bCs/>
              </w:rPr>
              <w:t>2020/21</w:t>
            </w:r>
          </w:p>
        </w:tc>
        <w:tc>
          <w:tcPr>
            <w:tcW w:w="7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065A2" w14:textId="77777777" w:rsidR="00AF51F1" w:rsidRDefault="00AF51F1">
            <w:pPr>
              <w:pStyle w:val="09-Bodytext"/>
              <w:rPr>
                <w:b/>
                <w:bCs/>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7FBB9" w14:textId="77777777" w:rsidR="00AF51F1" w:rsidRDefault="00711D3C">
            <w:pPr>
              <w:pStyle w:val="09-Bodytext"/>
              <w:jc w:val="right"/>
              <w:rPr>
                <w:b/>
                <w:bCs/>
              </w:rPr>
            </w:pPr>
            <w:r>
              <w:rPr>
                <w:b/>
                <w:bCs/>
              </w:rPr>
              <w:t>2021/22</w:t>
            </w:r>
          </w:p>
        </w:tc>
      </w:tr>
      <w:tr w:rsidR="00AF51F1" w14:paraId="385A00A9" w14:textId="77777777">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4EA96" w14:textId="77777777" w:rsidR="00AF51F1" w:rsidRDefault="00711D3C">
            <w:pPr>
              <w:pStyle w:val="09-Bodytext"/>
              <w:jc w:val="right"/>
              <w:rPr>
                <w:b/>
                <w:bCs/>
              </w:rPr>
            </w:pPr>
            <w:r>
              <w:rPr>
                <w:b/>
                <w:bCs/>
              </w:rPr>
              <w:t>£000</w:t>
            </w:r>
          </w:p>
        </w:tc>
        <w:tc>
          <w:tcPr>
            <w:tcW w:w="7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83DAD" w14:textId="77777777" w:rsidR="00AF51F1" w:rsidRDefault="00AF51F1">
            <w:pPr>
              <w:pStyle w:val="09-Bodytext"/>
              <w:rPr>
                <w:b/>
                <w:bCs/>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31719" w14:textId="77777777" w:rsidR="00AF51F1" w:rsidRDefault="00711D3C">
            <w:pPr>
              <w:pStyle w:val="09-Bodytext"/>
              <w:jc w:val="right"/>
              <w:rPr>
                <w:b/>
                <w:bCs/>
              </w:rPr>
            </w:pPr>
            <w:r>
              <w:rPr>
                <w:b/>
                <w:bCs/>
              </w:rPr>
              <w:t>£000</w:t>
            </w:r>
          </w:p>
        </w:tc>
      </w:tr>
      <w:tr w:rsidR="00AF51F1" w14:paraId="4D3A4AF8" w14:textId="77777777">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8206B" w14:textId="77777777" w:rsidR="00AF51F1" w:rsidRDefault="00711D3C">
            <w:pPr>
              <w:pStyle w:val="09-Bodytext"/>
              <w:jc w:val="right"/>
            </w:pPr>
            <w:r>
              <w:t>1,427</w:t>
            </w:r>
          </w:p>
        </w:tc>
        <w:tc>
          <w:tcPr>
            <w:tcW w:w="7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09E95" w14:textId="77777777" w:rsidR="00AF51F1" w:rsidRDefault="00711D3C">
            <w:pPr>
              <w:pStyle w:val="09-Bodytext"/>
            </w:pPr>
            <w:r>
              <w:t>Short term deposits</w:t>
            </w: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0A1C2" w14:textId="77777777" w:rsidR="00AF51F1" w:rsidRDefault="00711D3C">
            <w:pPr>
              <w:pStyle w:val="09-Bodytext"/>
              <w:jc w:val="right"/>
            </w:pPr>
            <w:r>
              <w:t>1,542</w:t>
            </w:r>
          </w:p>
        </w:tc>
      </w:tr>
      <w:tr w:rsidR="00AF51F1" w14:paraId="5A0024D1" w14:textId="77777777">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AEE7A" w14:textId="77777777" w:rsidR="00AF51F1" w:rsidRDefault="00711D3C">
            <w:pPr>
              <w:pStyle w:val="09-Bodytext"/>
              <w:jc w:val="right"/>
              <w:rPr>
                <w:b/>
                <w:bCs/>
              </w:rPr>
            </w:pPr>
            <w:r>
              <w:rPr>
                <w:b/>
                <w:bCs/>
              </w:rPr>
              <w:t>1,427</w:t>
            </w:r>
          </w:p>
        </w:tc>
        <w:tc>
          <w:tcPr>
            <w:tcW w:w="7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B9BC1" w14:textId="77777777" w:rsidR="00AF51F1" w:rsidRDefault="00711D3C">
            <w:pPr>
              <w:pStyle w:val="09-Bodytext"/>
              <w:rPr>
                <w:b/>
                <w:bCs/>
              </w:rPr>
            </w:pPr>
            <w:r>
              <w:rPr>
                <w:b/>
                <w:bCs/>
              </w:rPr>
              <w:t>Total Cash and Cash Equivalents</w:t>
            </w: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3285B" w14:textId="77777777" w:rsidR="00AF51F1" w:rsidRDefault="00711D3C">
            <w:pPr>
              <w:pStyle w:val="09-Bodytext"/>
              <w:jc w:val="right"/>
              <w:rPr>
                <w:b/>
                <w:bCs/>
              </w:rPr>
            </w:pPr>
            <w:r>
              <w:rPr>
                <w:b/>
                <w:bCs/>
              </w:rPr>
              <w:t>1,542</w:t>
            </w:r>
          </w:p>
        </w:tc>
      </w:tr>
    </w:tbl>
    <w:p w14:paraId="52914622" w14:textId="77777777" w:rsidR="00AF51F1" w:rsidRDefault="00AF51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2"/>
          <w:szCs w:val="22"/>
          <w:shd w:val="clear" w:color="auto" w:fill="FFFF00"/>
        </w:rPr>
      </w:pPr>
    </w:p>
    <w:p w14:paraId="2A3C68E2" w14:textId="77777777" w:rsidR="00AF51F1" w:rsidRDefault="00AF51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2"/>
          <w:szCs w:val="22"/>
          <w:shd w:val="clear" w:color="auto" w:fill="FFFF00"/>
        </w:rPr>
      </w:pPr>
    </w:p>
    <w:p w14:paraId="6A907A78" w14:textId="77777777" w:rsidR="00AF51F1" w:rsidRDefault="00AF51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2"/>
          <w:szCs w:val="22"/>
          <w:shd w:val="clear" w:color="auto" w:fill="FFFF00"/>
        </w:rPr>
      </w:pPr>
    </w:p>
    <w:p w14:paraId="4B610EF3" w14:textId="70D8E60C" w:rsidR="005351E2" w:rsidRDefault="005351E2">
      <w:pPr>
        <w:suppressAutoHyphens w:val="0"/>
        <w:rPr>
          <w:rFonts w:cs="Arial"/>
          <w:sz w:val="22"/>
          <w:szCs w:val="22"/>
          <w:shd w:val="clear" w:color="auto" w:fill="FFFF00"/>
        </w:rPr>
      </w:pPr>
      <w:r>
        <w:rPr>
          <w:rFonts w:cs="Arial"/>
          <w:sz w:val="22"/>
          <w:szCs w:val="22"/>
          <w:shd w:val="clear" w:color="auto" w:fill="FFFF00"/>
        </w:rPr>
        <w:br w:type="page"/>
      </w:r>
    </w:p>
    <w:p w14:paraId="658762CE" w14:textId="77777777" w:rsidR="00AF51F1" w:rsidRDefault="00711D3C">
      <w:pPr>
        <w:pStyle w:val="Heading2"/>
        <w:rPr>
          <w:sz w:val="22"/>
          <w:szCs w:val="22"/>
        </w:rPr>
      </w:pPr>
      <w:r>
        <w:rPr>
          <w:sz w:val="22"/>
          <w:szCs w:val="22"/>
        </w:rPr>
        <w:lastRenderedPageBreak/>
        <w:t>Notes to the Financial Statements</w:t>
      </w:r>
    </w:p>
    <w:p w14:paraId="15E67392" w14:textId="77777777" w:rsidR="00AF51F1" w:rsidRDefault="00AF51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sz w:val="22"/>
          <w:szCs w:val="22"/>
        </w:rPr>
      </w:pPr>
    </w:p>
    <w:p w14:paraId="44EC6FBF" w14:textId="77777777" w:rsidR="00AF51F1" w:rsidRPr="002D5726" w:rsidRDefault="00711D3C" w:rsidP="002D5726">
      <w:pPr>
        <w:pStyle w:val="Heading3"/>
        <w:rPr>
          <w:rFonts w:ascii="Arial" w:eastAsia="Times New Roman" w:hAnsi="Arial" w:cs="Times New Roman"/>
          <w:b/>
          <w:bCs/>
          <w:color w:val="auto"/>
          <w:sz w:val="22"/>
          <w:szCs w:val="20"/>
        </w:rPr>
      </w:pPr>
      <w:r w:rsidRPr="002D5726">
        <w:rPr>
          <w:rFonts w:ascii="Arial" w:eastAsia="Times New Roman" w:hAnsi="Arial" w:cs="Times New Roman"/>
          <w:b/>
          <w:bCs/>
          <w:color w:val="auto"/>
          <w:sz w:val="22"/>
          <w:szCs w:val="20"/>
        </w:rPr>
        <w:t>Note 1:  Accounting Policies</w:t>
      </w:r>
    </w:p>
    <w:p w14:paraId="3D87C5B5" w14:textId="77777777" w:rsidR="00AF51F1" w:rsidRDefault="00AF51F1">
      <w:pPr>
        <w:pStyle w:val="09-Bodytext"/>
      </w:pPr>
    </w:p>
    <w:p w14:paraId="1CB889FF" w14:textId="77777777" w:rsidR="00AF51F1" w:rsidRDefault="00711D3C">
      <w:pPr>
        <w:pStyle w:val="09-Bodytext"/>
        <w:rPr>
          <w:b/>
          <w:bCs/>
        </w:rPr>
      </w:pPr>
      <w:r>
        <w:rPr>
          <w:b/>
          <w:bCs/>
        </w:rPr>
        <w:t>General Principles</w:t>
      </w:r>
    </w:p>
    <w:p w14:paraId="6E92BBEC" w14:textId="77777777" w:rsidR="00AF51F1" w:rsidRDefault="00711D3C">
      <w:pPr>
        <w:pStyle w:val="09-Bodytext"/>
        <w:spacing w:line="20" w:lineRule="atLeast"/>
      </w:pPr>
      <w:r>
        <w:t xml:space="preserve">Lanarkshire Valuation Joint Board is required to prepare annual accounts by the Local Authority Accounts (Scotland) Regulations 2014, section 12 of the Local Government in Scotland Act 2003 requires they be prepared in accordance with proper accounting practices.  The general policies adopted in compiling and presenting the Accounts are those recommended by the Code of Practice on Local Authority Accounting in the United Kingdom </w:t>
      </w:r>
      <w:r w:rsidRPr="001B3A5E">
        <w:t>2021/2022 issued</w:t>
      </w:r>
      <w:r>
        <w:t xml:space="preserve"> jointly by the Chartered Institute of Public Finance and Accountancy (CIPFA) and the Local Authority (Scotland) Accounts Advisory Committee (LASAAC), supported by International Financial Reporting Standards (IFRS).  There are no significant departures from those recommendations.</w:t>
      </w:r>
    </w:p>
    <w:p w14:paraId="0E404718" w14:textId="77777777" w:rsidR="00AF51F1" w:rsidRDefault="00AF51F1">
      <w:pPr>
        <w:pStyle w:val="09-Bodytext"/>
        <w:spacing w:line="20" w:lineRule="atLeast"/>
      </w:pPr>
    </w:p>
    <w:p w14:paraId="52F42F05" w14:textId="77777777" w:rsidR="00AF51F1" w:rsidRDefault="00711D3C">
      <w:pPr>
        <w:pStyle w:val="09-Bodytext"/>
        <w:spacing w:line="20" w:lineRule="atLeast"/>
      </w:pPr>
      <w:r>
        <w:t xml:space="preserve">The Annual Accounts has been prepared under the historic cost convention.  All accounting policies have been applied consistently.  </w:t>
      </w:r>
    </w:p>
    <w:p w14:paraId="7CBCC1B5" w14:textId="77777777" w:rsidR="00AF51F1" w:rsidRDefault="00711D3C">
      <w:pPr>
        <w:pStyle w:val="09-Bodytext"/>
        <w:spacing w:line="20" w:lineRule="atLeast"/>
      </w:pPr>
      <w:r>
        <w:tab/>
      </w:r>
    </w:p>
    <w:p w14:paraId="7060365C" w14:textId="77777777" w:rsidR="00AF51F1" w:rsidRDefault="00711D3C">
      <w:pPr>
        <w:pStyle w:val="09-Bodytext"/>
        <w:spacing w:line="20" w:lineRule="atLeast"/>
        <w:rPr>
          <w:b/>
          <w:bCs/>
        </w:rPr>
      </w:pPr>
      <w:r>
        <w:rPr>
          <w:b/>
          <w:bCs/>
        </w:rPr>
        <w:t>Debtors and Creditors</w:t>
      </w:r>
    </w:p>
    <w:p w14:paraId="36126022" w14:textId="77777777" w:rsidR="00AF51F1" w:rsidRDefault="00711D3C">
      <w:pPr>
        <w:pStyle w:val="09-Bodytext"/>
        <w:spacing w:line="20" w:lineRule="atLeast"/>
        <w:rPr>
          <w:b/>
          <w:bCs/>
        </w:rPr>
      </w:pPr>
      <w:r>
        <w:rPr>
          <w:b/>
          <w:bCs/>
        </w:rPr>
        <w:t>Accruals basis</w:t>
      </w:r>
    </w:p>
    <w:p w14:paraId="79FEC3CD" w14:textId="77777777" w:rsidR="00AF51F1" w:rsidRDefault="00711D3C">
      <w:pPr>
        <w:pStyle w:val="09-Bodytext"/>
        <w:spacing w:line="20" w:lineRule="atLeast"/>
      </w:pPr>
      <w:r>
        <w:t xml:space="preserve">The Comprehensive Income and Expenditure Statement is compiled on an </w:t>
      </w:r>
      <w:proofErr w:type="gramStart"/>
      <w:r>
        <w:t>accruals</w:t>
      </w:r>
      <w:proofErr w:type="gramEnd"/>
      <w:r>
        <w:t xml:space="preserve"> basis.  Income and expenditure activities are accounted for in the year in which they take place, not simply when payments are made or received. Where goods and services have been sold but the income not received by 31 March 2022 or goods have been received but not paid for by 31 March 2022 then the Comprehensive Income and Expenditure Statement has been amended to reflect the outstanding amounts and a debtor or creditor for the relevant amount is recorded in the Balance Sheet. </w:t>
      </w:r>
    </w:p>
    <w:p w14:paraId="3DAA8C4E" w14:textId="77777777" w:rsidR="00AF51F1" w:rsidRDefault="00AF51F1">
      <w:pPr>
        <w:pStyle w:val="09-Bodytext"/>
        <w:spacing w:line="20" w:lineRule="atLeast"/>
      </w:pPr>
    </w:p>
    <w:p w14:paraId="52D5577D" w14:textId="77777777" w:rsidR="00AF51F1" w:rsidRDefault="00711D3C">
      <w:pPr>
        <w:pStyle w:val="09-Bodytext"/>
        <w:spacing w:line="20" w:lineRule="atLeast"/>
        <w:rPr>
          <w:b/>
          <w:bCs/>
        </w:rPr>
      </w:pPr>
      <w:r>
        <w:rPr>
          <w:b/>
          <w:bCs/>
        </w:rPr>
        <w:t>(</w:t>
      </w:r>
      <w:proofErr w:type="spellStart"/>
      <w:r>
        <w:rPr>
          <w:b/>
          <w:bCs/>
        </w:rPr>
        <w:t>i</w:t>
      </w:r>
      <w:proofErr w:type="spellEnd"/>
      <w:r>
        <w:rPr>
          <w:b/>
          <w:bCs/>
        </w:rPr>
        <w:t>)   Debtors</w:t>
      </w:r>
      <w:r>
        <w:rPr>
          <w:b/>
          <w:bCs/>
        </w:rPr>
        <w:tab/>
      </w:r>
    </w:p>
    <w:p w14:paraId="5D8A375E" w14:textId="77777777" w:rsidR="00AF51F1" w:rsidRDefault="00711D3C">
      <w:pPr>
        <w:pStyle w:val="09-Bodytext"/>
        <w:spacing w:line="20" w:lineRule="atLeast"/>
      </w:pPr>
      <w:r>
        <w:t xml:space="preserve">All specific and material sums payable to the Board have been brought into account.  </w:t>
      </w:r>
    </w:p>
    <w:p w14:paraId="1A7AECA3" w14:textId="77777777" w:rsidR="00AF51F1" w:rsidRDefault="00711D3C">
      <w:pPr>
        <w:pStyle w:val="09-Bodytext"/>
        <w:spacing w:line="20" w:lineRule="atLeast"/>
      </w:pPr>
      <w:r>
        <w:tab/>
      </w:r>
    </w:p>
    <w:p w14:paraId="78D4FABC" w14:textId="77777777" w:rsidR="00AF51F1" w:rsidRDefault="00711D3C">
      <w:pPr>
        <w:pStyle w:val="09-Bodytext"/>
        <w:spacing w:line="20" w:lineRule="atLeast"/>
        <w:rPr>
          <w:b/>
          <w:bCs/>
        </w:rPr>
      </w:pPr>
      <w:r>
        <w:rPr>
          <w:b/>
          <w:bCs/>
        </w:rPr>
        <w:t>(ii)  Creditors</w:t>
      </w:r>
    </w:p>
    <w:p w14:paraId="1DA3F01E" w14:textId="77777777" w:rsidR="00AF51F1" w:rsidRDefault="00711D3C">
      <w:pPr>
        <w:pStyle w:val="09-Bodytext"/>
        <w:spacing w:line="20" w:lineRule="atLeast"/>
      </w:pPr>
      <w:r>
        <w:t xml:space="preserve">Sundry Creditors are accrued on the basis of payments made during the first three weeks following 31 March </w:t>
      </w:r>
      <w:proofErr w:type="gramStart"/>
      <w:r>
        <w:t>2022;</w:t>
      </w:r>
      <w:proofErr w:type="gramEnd"/>
      <w:r>
        <w:t xml:space="preserve"> together with specific accruals in respect of further material items.</w:t>
      </w:r>
    </w:p>
    <w:p w14:paraId="353F5F14" w14:textId="77777777" w:rsidR="00AF51F1" w:rsidRDefault="00AF51F1">
      <w:pPr>
        <w:pStyle w:val="09-Bodytext"/>
        <w:spacing w:line="20" w:lineRule="atLeast"/>
        <w:rPr>
          <w:shd w:val="clear" w:color="auto" w:fill="FFFF00"/>
        </w:rPr>
      </w:pPr>
    </w:p>
    <w:p w14:paraId="5B2F543C" w14:textId="77777777" w:rsidR="00AF51F1" w:rsidRDefault="00711D3C">
      <w:pPr>
        <w:pStyle w:val="09-Bodytext"/>
        <w:spacing w:line="20" w:lineRule="atLeast"/>
        <w:rPr>
          <w:b/>
          <w:bCs/>
        </w:rPr>
      </w:pPr>
      <w:r>
        <w:rPr>
          <w:b/>
          <w:bCs/>
        </w:rPr>
        <w:t>(iii) Accumulating Compensated Absences</w:t>
      </w:r>
    </w:p>
    <w:p w14:paraId="41BF770F" w14:textId="77777777" w:rsidR="00AF51F1" w:rsidRDefault="00711D3C">
      <w:pPr>
        <w:pStyle w:val="09-Bodytext"/>
        <w:spacing w:line="20" w:lineRule="atLeast"/>
      </w:pPr>
      <w:r>
        <w:t xml:space="preserve">International Accounting Standard 19 (IAS19) states that ‘an organisation should account for employment benefits when employees earn them and the authority is committed to providing them, even if the actual provision might be in future years.’ All salaries and wages earned up to 31 March 2022 are included irrespective of when actual payments were made. The requirements of IAS 19 have been fully applied in the current year, in respect of annual leave provision, including recognition of the net liability and an accumulating compensated absences reserve in the Balance Sheet and entries in the </w:t>
      </w:r>
      <w:bookmarkStart w:id="4" w:name="_Hlk80017313"/>
      <w:r>
        <w:t>Comprehensive Income and Expenditure Statement</w:t>
      </w:r>
      <w:bookmarkEnd w:id="4"/>
      <w:r>
        <w:t xml:space="preserve"> for movements in the liability relating to the scheme.  </w:t>
      </w:r>
    </w:p>
    <w:p w14:paraId="69475E8D" w14:textId="77777777" w:rsidR="00AF51F1" w:rsidRDefault="00711D3C">
      <w:pPr>
        <w:pStyle w:val="09-Bodytext"/>
        <w:spacing w:line="20" w:lineRule="atLeast"/>
      </w:pPr>
      <w:r>
        <w:t xml:space="preserve">      </w:t>
      </w:r>
    </w:p>
    <w:p w14:paraId="72033AD6" w14:textId="77777777" w:rsidR="00AF51F1" w:rsidRDefault="00711D3C">
      <w:pPr>
        <w:pStyle w:val="09-Bodytext"/>
        <w:spacing w:line="20" w:lineRule="atLeast"/>
        <w:rPr>
          <w:b/>
          <w:bCs/>
        </w:rPr>
      </w:pPr>
      <w:r>
        <w:rPr>
          <w:b/>
          <w:bCs/>
        </w:rPr>
        <w:t>(iv) Pension Costs</w:t>
      </w:r>
    </w:p>
    <w:p w14:paraId="00F50800" w14:textId="77777777" w:rsidR="00AF51F1" w:rsidRDefault="00711D3C">
      <w:pPr>
        <w:pStyle w:val="09-Bodytext"/>
        <w:spacing w:line="20" w:lineRule="atLeast"/>
      </w:pPr>
      <w:r>
        <w:t>The Board participates, through South Lanarkshire Council, in the Local Government Superannuation Scheme, which is managed by Glasgow City Council.</w:t>
      </w:r>
    </w:p>
    <w:p w14:paraId="53409CF9" w14:textId="77777777" w:rsidR="00AF51F1" w:rsidRDefault="00AF51F1">
      <w:pPr>
        <w:pStyle w:val="09-Bodytext"/>
        <w:spacing w:line="20" w:lineRule="atLeast"/>
      </w:pPr>
    </w:p>
    <w:p w14:paraId="70D2E667" w14:textId="77777777" w:rsidR="00AF51F1" w:rsidRDefault="00711D3C">
      <w:pPr>
        <w:pStyle w:val="09-Bodytext"/>
        <w:spacing w:line="20" w:lineRule="atLeast"/>
      </w:pPr>
      <w:r>
        <w:t xml:space="preserve">The cost of providing pensions for employees is charged to the Comprehensive Income and Expenditure Statement in accordance with the statutory requirements governing the </w:t>
      </w:r>
      <w:proofErr w:type="gramStart"/>
      <w:r>
        <w:t>particular pension</w:t>
      </w:r>
      <w:proofErr w:type="gramEnd"/>
      <w:r>
        <w:t xml:space="preserve"> schemes to which the Board contributes.</w:t>
      </w:r>
    </w:p>
    <w:p w14:paraId="65DE02F0" w14:textId="77777777" w:rsidR="00AF51F1" w:rsidRDefault="00AF51F1">
      <w:pPr>
        <w:pStyle w:val="09-Bodytext"/>
      </w:pPr>
    </w:p>
    <w:p w14:paraId="1123A568" w14:textId="77777777" w:rsidR="00AF51F1" w:rsidRDefault="00711D3C">
      <w:pPr>
        <w:pStyle w:val="09-Bodytext"/>
      </w:pPr>
      <w:r>
        <w:lastRenderedPageBreak/>
        <w:t xml:space="preserve">The requirements of IAS19 have been fully applied in the current year, including recognition of the net liability and a pensions reserve in the Balance Sheet and entries in the Comprehensive Income and Expenditure Statement for movements in the liability relating to the scheme. Previous year budget and expenditure information has been provided to allow comparability.  </w:t>
      </w:r>
    </w:p>
    <w:p w14:paraId="1F8D2FB2" w14:textId="77777777" w:rsidR="00AF51F1" w:rsidRDefault="00AF51F1">
      <w:pPr>
        <w:pStyle w:val="09-Bodytext"/>
        <w:rPr>
          <w:shd w:val="clear" w:color="auto" w:fill="FFFF00"/>
        </w:rPr>
      </w:pPr>
    </w:p>
    <w:p w14:paraId="066B79E3" w14:textId="77777777" w:rsidR="00AF51F1" w:rsidRDefault="00711D3C">
      <w:pPr>
        <w:pStyle w:val="09-Bodytext"/>
        <w:rPr>
          <w:color w:val="000000"/>
        </w:rPr>
      </w:pPr>
      <w:r>
        <w:rPr>
          <w:color w:val="000000"/>
        </w:rPr>
        <w:t xml:space="preserve">In assessing liabilities for retirement benefits for the 2021/2022 Annual Accounts, a discount rate based on the current rate of return on a </w:t>
      </w:r>
      <w:proofErr w:type="gramStart"/>
      <w:r>
        <w:rPr>
          <w:color w:val="000000"/>
        </w:rPr>
        <w:t>high quality</w:t>
      </w:r>
      <w:proofErr w:type="gramEnd"/>
      <w:r>
        <w:rPr>
          <w:color w:val="000000"/>
        </w:rPr>
        <w:t xml:space="preserve"> corporate bond of equivalent currency and term to the scheme was used.  The Actuary has advised that a rate of 2.7% per annum is appropriate (2020/2021 - 2%).</w:t>
      </w:r>
    </w:p>
    <w:p w14:paraId="642FB21C" w14:textId="77777777" w:rsidR="00AF51F1" w:rsidRDefault="00AF51F1">
      <w:pPr>
        <w:pStyle w:val="09-Bodytext"/>
        <w:rPr>
          <w:color w:val="000000"/>
        </w:rPr>
      </w:pPr>
    </w:p>
    <w:p w14:paraId="14D0C24D" w14:textId="77777777" w:rsidR="00AF51F1" w:rsidRDefault="00711D3C">
      <w:pPr>
        <w:pStyle w:val="09-Bodytext"/>
      </w:pPr>
      <w:r>
        <w:rPr>
          <w:color w:val="000000"/>
        </w:rPr>
        <w:t xml:space="preserve">Actuarial Gains and Losses – changes in the net pension </w:t>
      </w:r>
      <w:r w:rsidRPr="001B3A5E">
        <w:rPr>
          <w:color w:val="000000"/>
        </w:rPr>
        <w:t>asset /</w:t>
      </w:r>
      <w:r>
        <w:rPr>
          <w:color w:val="000000"/>
        </w:rPr>
        <w:t xml:space="preserve"> liability that arise because of events have not coincided with assumptions made at the last actuarial valuation or because the actuaries have updated their assumptions – debited to the Pension Reserve.</w:t>
      </w:r>
    </w:p>
    <w:p w14:paraId="27BACD8E" w14:textId="77777777" w:rsidR="00AF51F1" w:rsidRDefault="00AF51F1">
      <w:pPr>
        <w:pStyle w:val="09-Bodytext"/>
        <w:rPr>
          <w:color w:val="000000"/>
        </w:rPr>
      </w:pPr>
    </w:p>
    <w:p w14:paraId="446C824C" w14:textId="77777777" w:rsidR="00AF51F1" w:rsidRDefault="00711D3C">
      <w:pPr>
        <w:pStyle w:val="09-Bodytext"/>
      </w:pPr>
      <w:r>
        <w:rPr>
          <w:b/>
          <w:bCs/>
        </w:rPr>
        <w:t>(v)  Allocation of Central Support Expenses</w:t>
      </w:r>
    </w:p>
    <w:p w14:paraId="11CF82EA" w14:textId="77777777" w:rsidR="00AF51F1" w:rsidRDefault="00711D3C">
      <w:pPr>
        <w:pStyle w:val="09-Bodytext"/>
      </w:pPr>
      <w:r>
        <w:t xml:space="preserve">The allocation of Central Support Expenses is the cost of those South Lanarkshire central support departments which provide a service to the Board.  The individual support departments are Administration Services, Personnel, Information Technology and Finance Services.  The method of allocation is determined by each individual department and in most instances is a </w:t>
      </w:r>
      <w:proofErr w:type="gramStart"/>
      <w:r>
        <w:t>time based</w:t>
      </w:r>
      <w:proofErr w:type="gramEnd"/>
      <w:r>
        <w:t xml:space="preserve"> allocation of employee costs or the recharge of actual costs incurred.  The recharge is made on a consistent basis.</w:t>
      </w:r>
    </w:p>
    <w:p w14:paraId="60DE14A9" w14:textId="77777777" w:rsidR="00AF51F1" w:rsidRDefault="00AF51F1">
      <w:pPr>
        <w:pStyle w:val="09-Bodytext"/>
        <w:rPr>
          <w:color w:val="FF0000"/>
        </w:rPr>
      </w:pPr>
    </w:p>
    <w:p w14:paraId="42CB8670" w14:textId="77777777" w:rsidR="00AF51F1" w:rsidRDefault="00711D3C">
      <w:pPr>
        <w:pStyle w:val="09-Bodytext"/>
        <w:rPr>
          <w:b/>
          <w:bCs/>
        </w:rPr>
      </w:pPr>
      <w:r>
        <w:rPr>
          <w:b/>
          <w:bCs/>
        </w:rPr>
        <w:t>(vi) Borrowing Facilities</w:t>
      </w:r>
    </w:p>
    <w:p w14:paraId="14F157DF" w14:textId="77777777" w:rsidR="00AF51F1" w:rsidRDefault="00711D3C">
      <w:pPr>
        <w:pStyle w:val="09-Bodytext"/>
        <w:rPr>
          <w:color w:val="231F20"/>
        </w:rPr>
      </w:pPr>
      <w:r>
        <w:rPr>
          <w:color w:val="231F20"/>
        </w:rPr>
        <w:t xml:space="preserve">The Board is a separate legal entity and has South Lanarkshire Council as its lead authority.  The loans’ fund of South Lanarkshire Council acts as banker to the Board and consequently lends or borrows according to the required cash flow and activities of the Board.   </w:t>
      </w:r>
    </w:p>
    <w:p w14:paraId="09C4D00B" w14:textId="77777777" w:rsidR="00AF51F1" w:rsidRDefault="00AF51F1">
      <w:pPr>
        <w:pStyle w:val="09-Bodytext"/>
        <w:rPr>
          <w:color w:val="231F20"/>
        </w:rPr>
      </w:pPr>
    </w:p>
    <w:p w14:paraId="5E6DFB27" w14:textId="77777777" w:rsidR="00AF51F1" w:rsidRDefault="00711D3C">
      <w:pPr>
        <w:pStyle w:val="09-Bodytext"/>
        <w:rPr>
          <w:b/>
          <w:bCs/>
        </w:rPr>
      </w:pPr>
      <w:r>
        <w:rPr>
          <w:b/>
          <w:bCs/>
        </w:rPr>
        <w:t>(vii) Financial Instruments</w:t>
      </w:r>
    </w:p>
    <w:p w14:paraId="3C48FA1C" w14:textId="77777777" w:rsidR="00AF51F1" w:rsidRDefault="00711D3C">
      <w:pPr>
        <w:pStyle w:val="09-Bodytext"/>
      </w:pPr>
      <w:r>
        <w:t>Where an instrument has a maturity of less than 12 months the fair value is taken to be the principal outstanding.</w:t>
      </w:r>
    </w:p>
    <w:p w14:paraId="56AFD013" w14:textId="77777777" w:rsidR="00AF51F1" w:rsidRDefault="00AF51F1">
      <w:pPr>
        <w:pStyle w:val="09-Bodytext"/>
      </w:pPr>
    </w:p>
    <w:p w14:paraId="31CE42D1" w14:textId="77777777" w:rsidR="00AF51F1" w:rsidRDefault="00711D3C">
      <w:pPr>
        <w:pStyle w:val="09-Bodytext"/>
      </w:pPr>
      <w:r>
        <w:t>Creditors due within 12 months are not classed as a financial instrument.</w:t>
      </w:r>
    </w:p>
    <w:p w14:paraId="50E62491" w14:textId="77777777" w:rsidR="00AF51F1" w:rsidRDefault="00AF51F1">
      <w:pPr>
        <w:pStyle w:val="09-Bodytext"/>
      </w:pPr>
    </w:p>
    <w:p w14:paraId="2815A3F2" w14:textId="77777777" w:rsidR="00AF51F1" w:rsidRDefault="00711D3C">
      <w:pPr>
        <w:pStyle w:val="09-Bodytext"/>
        <w:rPr>
          <w:b/>
          <w:bCs/>
        </w:rPr>
      </w:pPr>
      <w:r>
        <w:rPr>
          <w:b/>
          <w:bCs/>
        </w:rPr>
        <w:t>Intangible Assets</w:t>
      </w:r>
    </w:p>
    <w:p w14:paraId="613F4983" w14:textId="77777777" w:rsidR="00AF51F1" w:rsidRDefault="00711D3C">
      <w:pPr>
        <w:pStyle w:val="09-Bodytext"/>
      </w:pPr>
      <w:r>
        <w:t xml:space="preserve">Expenditure on non-monetary assets that do not have physical substance but are controlled by the Board </w:t>
      </w:r>
      <w:proofErr w:type="gramStart"/>
      <w:r>
        <w:t>as a result of</w:t>
      </w:r>
      <w:proofErr w:type="gramEnd"/>
      <w:r>
        <w:t xml:space="preserve"> past events (for example, software licences) is capitalised when it is expected that it will bring benefits to the Board for more than 12 months.</w:t>
      </w:r>
    </w:p>
    <w:p w14:paraId="53F4152F" w14:textId="77777777" w:rsidR="00AF51F1" w:rsidRDefault="00AF51F1">
      <w:pPr>
        <w:pStyle w:val="09-Bodytext"/>
      </w:pPr>
    </w:p>
    <w:p w14:paraId="55DD89CF" w14:textId="77777777" w:rsidR="00AF51F1" w:rsidRDefault="00711D3C">
      <w:pPr>
        <w:pStyle w:val="09-Bodytext"/>
      </w:pPr>
      <w:r>
        <w:t>Intangible Assets are measured at cost.  The depreciable amount of an intangible asset is amortised over its useful life in the Comprehensive Income and Expenditure Statement.  The useful life of these assets is deemed to be 1-5 years.</w:t>
      </w:r>
    </w:p>
    <w:p w14:paraId="2EFCACF5" w14:textId="77777777" w:rsidR="00AF51F1" w:rsidRDefault="00AF51F1">
      <w:pPr>
        <w:pStyle w:val="09-Bodytext"/>
        <w:rPr>
          <w:shd w:val="clear" w:color="auto" w:fill="FFFF00"/>
        </w:rPr>
      </w:pPr>
    </w:p>
    <w:p w14:paraId="2E83F5EB" w14:textId="77777777" w:rsidR="00AF51F1" w:rsidRDefault="00711D3C">
      <w:pPr>
        <w:pStyle w:val="09-Bodytext"/>
        <w:rPr>
          <w:b/>
        </w:rPr>
      </w:pPr>
      <w:r>
        <w:rPr>
          <w:b/>
        </w:rPr>
        <w:t>Leases</w:t>
      </w:r>
    </w:p>
    <w:p w14:paraId="177DF3B8" w14:textId="77777777" w:rsidR="00AF51F1" w:rsidRDefault="00711D3C">
      <w:pPr>
        <w:pStyle w:val="09-Bodytext"/>
      </w:pPr>
      <w:r>
        <w:t xml:space="preserve">Leases are classified as finance leases where the terms of the lease transfer substantially all the risks and rewards incidental to ownership of the property, </w:t>
      </w:r>
      <w:proofErr w:type="gramStart"/>
      <w:r>
        <w:t>plant</w:t>
      </w:r>
      <w:proofErr w:type="gramEnd"/>
      <w:r>
        <w:t xml:space="preserve"> or equipment from the lessor to the lessee.  All other leases are classified as operating leases.</w:t>
      </w:r>
    </w:p>
    <w:p w14:paraId="55FB87EC" w14:textId="77777777" w:rsidR="00AF51F1" w:rsidRDefault="00AF51F1">
      <w:pPr>
        <w:pStyle w:val="09-Bodytext"/>
      </w:pPr>
    </w:p>
    <w:p w14:paraId="2D9A5DC6" w14:textId="77777777" w:rsidR="00AF51F1" w:rsidRDefault="00711D3C">
      <w:pPr>
        <w:pStyle w:val="09-Bodytext"/>
      </w:pPr>
      <w:r>
        <w:t>The Board as Lessee – Operating Leases</w:t>
      </w:r>
    </w:p>
    <w:p w14:paraId="160C4422" w14:textId="77777777" w:rsidR="00AF51F1" w:rsidRDefault="00711D3C">
      <w:pPr>
        <w:pStyle w:val="09-Bodytext"/>
      </w:pPr>
      <w:r>
        <w:t xml:space="preserve">Rentals paid under operating leases are charged to the Comprehensive Income and Expenditure Statement as an expense for the use of the leased property, </w:t>
      </w:r>
      <w:proofErr w:type="gramStart"/>
      <w:r>
        <w:t>plant</w:t>
      </w:r>
      <w:proofErr w:type="gramEnd"/>
      <w:r>
        <w:t xml:space="preserve"> or equipment.</w:t>
      </w:r>
    </w:p>
    <w:p w14:paraId="6F9E7F9A" w14:textId="38953C1A" w:rsidR="00AF51F1" w:rsidRDefault="00AF51F1">
      <w:pPr>
        <w:pStyle w:val="09-Bodytext"/>
      </w:pPr>
    </w:p>
    <w:p w14:paraId="7F338234" w14:textId="77777777" w:rsidR="00F8584A" w:rsidRDefault="00F8584A">
      <w:pPr>
        <w:suppressAutoHyphens w:val="0"/>
        <w:rPr>
          <w:sz w:val="22"/>
          <w:szCs w:val="20"/>
        </w:rPr>
      </w:pPr>
      <w:r>
        <w:br w:type="page"/>
      </w:r>
    </w:p>
    <w:p w14:paraId="2E921A14" w14:textId="4D6A39AD" w:rsidR="00AF51F1" w:rsidRDefault="00711D3C">
      <w:pPr>
        <w:pStyle w:val="09-Bodytext"/>
        <w:rPr>
          <w:b/>
        </w:rPr>
      </w:pPr>
      <w:r>
        <w:rPr>
          <w:b/>
        </w:rPr>
        <w:lastRenderedPageBreak/>
        <w:t>Property, Plant and Equipment</w:t>
      </w:r>
    </w:p>
    <w:p w14:paraId="19FD4A01" w14:textId="5110B0E2" w:rsidR="00AF51F1" w:rsidRDefault="00711D3C" w:rsidP="001B3A5E">
      <w:pPr>
        <w:pStyle w:val="09-Bodytext"/>
        <w:rPr>
          <w:bCs/>
        </w:rPr>
      </w:pPr>
      <w:r>
        <w:rPr>
          <w:bCs/>
        </w:rPr>
        <w:t>Assets that have physical substance and are held for use in the supply of services or administrative purposes and that are expected to be used during more than one financial year are classified as Property, Plant and Equipment.</w:t>
      </w:r>
    </w:p>
    <w:p w14:paraId="085EA3E6" w14:textId="77777777" w:rsidR="001B3A5E" w:rsidRDefault="001B3A5E" w:rsidP="001B3A5E">
      <w:pPr>
        <w:pStyle w:val="09-Bodytext"/>
        <w:rPr>
          <w:bCs/>
        </w:rPr>
      </w:pPr>
    </w:p>
    <w:p w14:paraId="250CDA90" w14:textId="77777777" w:rsidR="00AF51F1" w:rsidRDefault="00711D3C">
      <w:pPr>
        <w:pStyle w:val="09-Bodytext"/>
        <w:rPr>
          <w:bCs/>
        </w:rPr>
      </w:pPr>
      <w:r>
        <w:rPr>
          <w:bCs/>
        </w:rPr>
        <w:t>Recognition</w:t>
      </w:r>
    </w:p>
    <w:p w14:paraId="792983C0" w14:textId="77777777" w:rsidR="00AF51F1" w:rsidRDefault="00711D3C">
      <w:pPr>
        <w:pStyle w:val="09-Bodytext"/>
      </w:pPr>
      <w:r>
        <w:rPr>
          <w:bCs/>
        </w:rPr>
        <w:t xml:space="preserve">Expenditure on the acquisition, </w:t>
      </w:r>
      <w:r>
        <w:rPr>
          <w:color w:val="231F20"/>
        </w:rPr>
        <w:t xml:space="preserve">creation or enhancement of Property, Plant and Equipment is capitalised on an </w:t>
      </w:r>
      <w:proofErr w:type="gramStart"/>
      <w:r>
        <w:rPr>
          <w:color w:val="231F20"/>
        </w:rPr>
        <w:t>accruals</w:t>
      </w:r>
      <w:proofErr w:type="gramEnd"/>
      <w:r>
        <w:rPr>
          <w:color w:val="231F20"/>
        </w:rPr>
        <w:t xml:space="preserve"> basis. Expenditure that merely maintains the condition of an asset </w:t>
      </w:r>
      <w:proofErr w:type="gramStart"/>
      <w:r>
        <w:rPr>
          <w:color w:val="231F20"/>
        </w:rPr>
        <w:t>e.g.</w:t>
      </w:r>
      <w:proofErr w:type="gramEnd"/>
      <w:r>
        <w:rPr>
          <w:color w:val="231F20"/>
        </w:rPr>
        <w:t xml:space="preserve"> repairs and maintenance is charged as an expense when it is incurred.</w:t>
      </w:r>
    </w:p>
    <w:p w14:paraId="48B05ADB" w14:textId="77777777" w:rsidR="00AF51F1" w:rsidRDefault="00AF51F1">
      <w:pPr>
        <w:pStyle w:val="09-Bodytext"/>
        <w:rPr>
          <w:color w:val="231F20"/>
        </w:rPr>
      </w:pPr>
    </w:p>
    <w:p w14:paraId="309A5203" w14:textId="77777777" w:rsidR="00AF51F1" w:rsidRDefault="00711D3C">
      <w:pPr>
        <w:pStyle w:val="09-Bodytext"/>
        <w:rPr>
          <w:color w:val="231F20"/>
        </w:rPr>
      </w:pPr>
      <w:r>
        <w:rPr>
          <w:color w:val="231F20"/>
        </w:rPr>
        <w:t>Measurement</w:t>
      </w:r>
    </w:p>
    <w:p w14:paraId="2B48F763" w14:textId="77777777" w:rsidR="00AF51F1" w:rsidRDefault="00711D3C">
      <w:pPr>
        <w:pStyle w:val="09-Bodytext"/>
        <w:rPr>
          <w:bCs/>
        </w:rPr>
      </w:pPr>
      <w:r>
        <w:rPr>
          <w:bCs/>
        </w:rPr>
        <w:t>Assets are initially measured at cost, comprising:</w:t>
      </w:r>
    </w:p>
    <w:p w14:paraId="29475095" w14:textId="77777777" w:rsidR="00AF51F1" w:rsidRDefault="00711D3C">
      <w:pPr>
        <w:pStyle w:val="09-Bodytext"/>
        <w:numPr>
          <w:ilvl w:val="0"/>
          <w:numId w:val="11"/>
        </w:numPr>
      </w:pPr>
      <w:r>
        <w:rPr>
          <w:color w:val="231F20"/>
        </w:rPr>
        <w:t>the purchase</w:t>
      </w:r>
      <w:r>
        <w:rPr>
          <w:color w:val="231F20"/>
          <w:spacing w:val="1"/>
        </w:rPr>
        <w:t xml:space="preserve"> </w:t>
      </w:r>
      <w:proofErr w:type="gramStart"/>
      <w:r>
        <w:rPr>
          <w:color w:val="231F20"/>
        </w:rPr>
        <w:t>price</w:t>
      </w:r>
      <w:proofErr w:type="gramEnd"/>
    </w:p>
    <w:p w14:paraId="2FEB1FC6" w14:textId="77777777" w:rsidR="00AF51F1" w:rsidRDefault="00711D3C">
      <w:pPr>
        <w:pStyle w:val="09-Bodytext"/>
        <w:numPr>
          <w:ilvl w:val="0"/>
          <w:numId w:val="11"/>
        </w:numPr>
      </w:pPr>
      <w:r>
        <w:rPr>
          <w:color w:val="231F20"/>
          <w:w w:val="105"/>
        </w:rPr>
        <w:t>any costs attributable to bringing the asset to the</w:t>
      </w:r>
      <w:r>
        <w:rPr>
          <w:color w:val="231F20"/>
          <w:spacing w:val="-20"/>
          <w:w w:val="105"/>
        </w:rPr>
        <w:t xml:space="preserve"> </w:t>
      </w:r>
      <w:r>
        <w:rPr>
          <w:color w:val="231F20"/>
          <w:w w:val="105"/>
        </w:rPr>
        <w:t>location</w:t>
      </w:r>
      <w:r>
        <w:rPr>
          <w:color w:val="231F20"/>
          <w:spacing w:val="-19"/>
          <w:w w:val="105"/>
        </w:rPr>
        <w:t xml:space="preserve"> </w:t>
      </w:r>
      <w:r>
        <w:rPr>
          <w:color w:val="231F20"/>
          <w:w w:val="105"/>
        </w:rPr>
        <w:t>and</w:t>
      </w:r>
      <w:r>
        <w:rPr>
          <w:color w:val="231F20"/>
          <w:spacing w:val="-20"/>
          <w:w w:val="105"/>
        </w:rPr>
        <w:t xml:space="preserve"> </w:t>
      </w:r>
      <w:r>
        <w:rPr>
          <w:color w:val="231F20"/>
          <w:w w:val="105"/>
        </w:rPr>
        <w:t>condition</w:t>
      </w:r>
      <w:r>
        <w:rPr>
          <w:color w:val="231F20"/>
          <w:spacing w:val="-19"/>
          <w:w w:val="105"/>
        </w:rPr>
        <w:t xml:space="preserve"> </w:t>
      </w:r>
      <w:r>
        <w:rPr>
          <w:color w:val="231F20"/>
          <w:w w:val="105"/>
        </w:rPr>
        <w:t>necessary</w:t>
      </w:r>
      <w:r>
        <w:rPr>
          <w:color w:val="231F20"/>
          <w:spacing w:val="-20"/>
          <w:w w:val="105"/>
        </w:rPr>
        <w:t xml:space="preserve"> </w:t>
      </w:r>
      <w:r>
        <w:rPr>
          <w:color w:val="231F20"/>
          <w:w w:val="105"/>
        </w:rPr>
        <w:t>for</w:t>
      </w:r>
      <w:r>
        <w:rPr>
          <w:color w:val="231F20"/>
          <w:spacing w:val="-19"/>
          <w:w w:val="105"/>
        </w:rPr>
        <w:t xml:space="preserve"> </w:t>
      </w:r>
      <w:r>
        <w:rPr>
          <w:color w:val="231F20"/>
          <w:w w:val="105"/>
        </w:rPr>
        <w:t>it</w:t>
      </w:r>
      <w:r>
        <w:rPr>
          <w:color w:val="231F20"/>
          <w:spacing w:val="-20"/>
          <w:w w:val="105"/>
        </w:rPr>
        <w:t xml:space="preserve"> </w:t>
      </w:r>
      <w:r>
        <w:rPr>
          <w:color w:val="231F20"/>
          <w:w w:val="105"/>
        </w:rPr>
        <w:t>to</w:t>
      </w:r>
      <w:r>
        <w:rPr>
          <w:color w:val="231F20"/>
          <w:spacing w:val="-19"/>
          <w:w w:val="105"/>
        </w:rPr>
        <w:t xml:space="preserve"> </w:t>
      </w:r>
      <w:r>
        <w:rPr>
          <w:color w:val="231F20"/>
          <w:w w:val="105"/>
        </w:rPr>
        <w:t>be capable</w:t>
      </w:r>
      <w:r>
        <w:rPr>
          <w:color w:val="231F20"/>
          <w:spacing w:val="-21"/>
          <w:w w:val="105"/>
        </w:rPr>
        <w:t xml:space="preserve"> </w:t>
      </w:r>
      <w:r>
        <w:rPr>
          <w:color w:val="231F20"/>
          <w:w w:val="105"/>
        </w:rPr>
        <w:t>of</w:t>
      </w:r>
      <w:r>
        <w:rPr>
          <w:color w:val="231F20"/>
          <w:spacing w:val="-20"/>
          <w:w w:val="105"/>
        </w:rPr>
        <w:t xml:space="preserve"> </w:t>
      </w:r>
      <w:r>
        <w:rPr>
          <w:color w:val="231F20"/>
          <w:w w:val="105"/>
        </w:rPr>
        <w:t>operating</w:t>
      </w:r>
      <w:r>
        <w:rPr>
          <w:color w:val="231F20"/>
          <w:spacing w:val="-20"/>
          <w:w w:val="105"/>
        </w:rPr>
        <w:t xml:space="preserve"> </w:t>
      </w:r>
      <w:r>
        <w:rPr>
          <w:color w:val="231F20"/>
          <w:w w:val="105"/>
        </w:rPr>
        <w:t>in</w:t>
      </w:r>
      <w:r>
        <w:rPr>
          <w:color w:val="231F20"/>
          <w:spacing w:val="-21"/>
          <w:w w:val="105"/>
        </w:rPr>
        <w:t xml:space="preserve"> </w:t>
      </w:r>
      <w:r>
        <w:rPr>
          <w:color w:val="231F20"/>
          <w:w w:val="105"/>
        </w:rPr>
        <w:t>the</w:t>
      </w:r>
      <w:r>
        <w:rPr>
          <w:color w:val="231F20"/>
          <w:spacing w:val="-20"/>
          <w:w w:val="105"/>
        </w:rPr>
        <w:t xml:space="preserve"> </w:t>
      </w:r>
      <w:r>
        <w:rPr>
          <w:color w:val="231F20"/>
          <w:w w:val="105"/>
        </w:rPr>
        <w:t>manner</w:t>
      </w:r>
      <w:r>
        <w:rPr>
          <w:color w:val="231F20"/>
          <w:spacing w:val="-20"/>
          <w:w w:val="105"/>
        </w:rPr>
        <w:t xml:space="preserve"> </w:t>
      </w:r>
      <w:r>
        <w:rPr>
          <w:color w:val="231F20"/>
          <w:w w:val="105"/>
        </w:rPr>
        <w:t>intended</w:t>
      </w:r>
      <w:r>
        <w:rPr>
          <w:color w:val="231F20"/>
          <w:spacing w:val="-20"/>
          <w:w w:val="105"/>
        </w:rPr>
        <w:t xml:space="preserve"> </w:t>
      </w:r>
      <w:r>
        <w:rPr>
          <w:color w:val="231F20"/>
          <w:w w:val="105"/>
        </w:rPr>
        <w:t>by management</w:t>
      </w:r>
    </w:p>
    <w:p w14:paraId="6A2EB8E2" w14:textId="77777777" w:rsidR="00AF51F1" w:rsidRDefault="00AF51F1">
      <w:pPr>
        <w:pStyle w:val="09-Bodytext"/>
      </w:pPr>
    </w:p>
    <w:p w14:paraId="1D779AA8" w14:textId="77777777" w:rsidR="00AF51F1" w:rsidRDefault="00711D3C">
      <w:pPr>
        <w:pStyle w:val="09-Bodytext"/>
        <w:rPr>
          <w:color w:val="231F20"/>
        </w:rPr>
      </w:pPr>
      <w:r>
        <w:rPr>
          <w:color w:val="231F20"/>
        </w:rPr>
        <w:t>Assets are then carried in the Balance Sheet using the following measurement bases:</w:t>
      </w:r>
    </w:p>
    <w:p w14:paraId="1074EFBB" w14:textId="77777777" w:rsidR="00AF51F1" w:rsidRDefault="00711D3C">
      <w:pPr>
        <w:pStyle w:val="09-Bodytext"/>
        <w:numPr>
          <w:ilvl w:val="0"/>
          <w:numId w:val="12"/>
        </w:numPr>
      </w:pPr>
      <w:r>
        <w:rPr>
          <w:color w:val="231F20"/>
        </w:rPr>
        <w:t xml:space="preserve">other land and buildings – </w:t>
      </w:r>
      <w:r>
        <w:rPr>
          <w:color w:val="231F20"/>
          <w:w w:val="105"/>
        </w:rPr>
        <w:t>fair value, determined by the amount that would be paid for the asset in its existing</w:t>
      </w:r>
      <w:r>
        <w:rPr>
          <w:color w:val="231F20"/>
        </w:rPr>
        <w:t xml:space="preserve"> use (existing use value –</w:t>
      </w:r>
      <w:r>
        <w:rPr>
          <w:color w:val="231F20"/>
          <w:spacing w:val="-28"/>
        </w:rPr>
        <w:t xml:space="preserve"> </w:t>
      </w:r>
      <w:r>
        <w:rPr>
          <w:color w:val="231F20"/>
        </w:rPr>
        <w:t>EUV)</w:t>
      </w:r>
    </w:p>
    <w:p w14:paraId="711DA475" w14:textId="77777777" w:rsidR="00AF51F1" w:rsidRDefault="00711D3C">
      <w:pPr>
        <w:pStyle w:val="09-Bodytext"/>
        <w:numPr>
          <w:ilvl w:val="0"/>
          <w:numId w:val="12"/>
        </w:numPr>
      </w:pPr>
      <w:r>
        <w:rPr>
          <w:color w:val="231F20"/>
        </w:rPr>
        <w:t xml:space="preserve">vehicles, </w:t>
      </w:r>
      <w:proofErr w:type="gramStart"/>
      <w:r>
        <w:rPr>
          <w:color w:val="231F20"/>
        </w:rPr>
        <w:t>plant</w:t>
      </w:r>
      <w:proofErr w:type="gramEnd"/>
      <w:r>
        <w:rPr>
          <w:color w:val="231F20"/>
        </w:rPr>
        <w:t xml:space="preserve"> and equipment – where non- property assets that have short useful lives or </w:t>
      </w:r>
      <w:r>
        <w:rPr>
          <w:color w:val="231F20"/>
          <w:spacing w:val="-2"/>
        </w:rPr>
        <w:t xml:space="preserve">low </w:t>
      </w:r>
      <w:r>
        <w:rPr>
          <w:color w:val="231F20"/>
        </w:rPr>
        <w:t>values</w:t>
      </w:r>
      <w:r>
        <w:rPr>
          <w:color w:val="231F20"/>
          <w:spacing w:val="-12"/>
        </w:rPr>
        <w:t xml:space="preserve"> </w:t>
      </w:r>
      <w:r>
        <w:rPr>
          <w:color w:val="231F20"/>
        </w:rPr>
        <w:t>(or</w:t>
      </w:r>
      <w:r>
        <w:rPr>
          <w:color w:val="231F20"/>
          <w:spacing w:val="-11"/>
        </w:rPr>
        <w:t xml:space="preserve"> </w:t>
      </w:r>
      <w:r>
        <w:rPr>
          <w:color w:val="231F20"/>
        </w:rPr>
        <w:t>both),</w:t>
      </w:r>
      <w:r>
        <w:rPr>
          <w:color w:val="231F20"/>
          <w:spacing w:val="-11"/>
        </w:rPr>
        <w:t xml:space="preserve"> </w:t>
      </w:r>
      <w:r>
        <w:rPr>
          <w:color w:val="231F20"/>
        </w:rPr>
        <w:t>depreciated</w:t>
      </w:r>
      <w:r>
        <w:rPr>
          <w:color w:val="231F20"/>
          <w:spacing w:val="-11"/>
        </w:rPr>
        <w:t xml:space="preserve"> </w:t>
      </w:r>
      <w:r>
        <w:rPr>
          <w:color w:val="231F20"/>
        </w:rPr>
        <w:t>historical</w:t>
      </w:r>
      <w:r>
        <w:rPr>
          <w:color w:val="231F20"/>
          <w:spacing w:val="-11"/>
        </w:rPr>
        <w:t xml:space="preserve"> </w:t>
      </w:r>
      <w:r>
        <w:rPr>
          <w:color w:val="231F20"/>
        </w:rPr>
        <w:t>cost</w:t>
      </w:r>
      <w:r>
        <w:rPr>
          <w:color w:val="231F20"/>
          <w:spacing w:val="-11"/>
        </w:rPr>
        <w:t xml:space="preserve"> </w:t>
      </w:r>
      <w:r>
        <w:rPr>
          <w:color w:val="231F20"/>
        </w:rPr>
        <w:t>basis</w:t>
      </w:r>
      <w:r>
        <w:rPr>
          <w:color w:val="231F20"/>
          <w:spacing w:val="-11"/>
        </w:rPr>
        <w:t xml:space="preserve"> </w:t>
      </w:r>
      <w:r>
        <w:rPr>
          <w:color w:val="231F20"/>
        </w:rPr>
        <w:t>is used as a proxy for fair</w:t>
      </w:r>
      <w:r>
        <w:rPr>
          <w:color w:val="231F20"/>
          <w:spacing w:val="-2"/>
        </w:rPr>
        <w:t xml:space="preserve"> </w:t>
      </w:r>
      <w:r>
        <w:rPr>
          <w:color w:val="231F20"/>
        </w:rPr>
        <w:t>value</w:t>
      </w:r>
    </w:p>
    <w:p w14:paraId="193B204E" w14:textId="77777777" w:rsidR="00AF51F1" w:rsidRDefault="00AF51F1">
      <w:pPr>
        <w:pStyle w:val="09-Bodytext"/>
      </w:pPr>
    </w:p>
    <w:p w14:paraId="0C53174C" w14:textId="77777777" w:rsidR="00AF51F1" w:rsidRDefault="00711D3C">
      <w:pPr>
        <w:pStyle w:val="09-Bodytext"/>
      </w:pPr>
      <w:r>
        <w:t>Depreciation</w:t>
      </w:r>
    </w:p>
    <w:p w14:paraId="6AB1729B" w14:textId="77777777" w:rsidR="00AF51F1" w:rsidRDefault="00711D3C">
      <w:pPr>
        <w:pStyle w:val="09-Bodytext"/>
        <w:rPr>
          <w:color w:val="231F20"/>
        </w:rPr>
      </w:pPr>
      <w:r>
        <w:rPr>
          <w:color w:val="231F20"/>
        </w:rPr>
        <w:t>Depreciation is provided for on all Property, Plant and Equipment assets and is calculated on the following bases:</w:t>
      </w:r>
    </w:p>
    <w:p w14:paraId="3486A6C3" w14:textId="77777777" w:rsidR="00AF51F1" w:rsidRDefault="00711D3C">
      <w:pPr>
        <w:pStyle w:val="09-Bodytext"/>
        <w:numPr>
          <w:ilvl w:val="0"/>
          <w:numId w:val="13"/>
        </w:numPr>
      </w:pPr>
      <w:r>
        <w:rPr>
          <w:color w:val="231F20"/>
        </w:rPr>
        <w:t>other buildings – straight-line allocation over the useful life of the property as estimated</w:t>
      </w:r>
      <w:r>
        <w:rPr>
          <w:color w:val="231F20"/>
          <w:spacing w:val="-6"/>
        </w:rPr>
        <w:t xml:space="preserve"> </w:t>
      </w:r>
      <w:r>
        <w:rPr>
          <w:color w:val="231F20"/>
        </w:rPr>
        <w:t>by</w:t>
      </w:r>
      <w:r>
        <w:rPr>
          <w:color w:val="231F20"/>
          <w:spacing w:val="-6"/>
        </w:rPr>
        <w:t xml:space="preserve"> </w:t>
      </w:r>
      <w:r>
        <w:rPr>
          <w:color w:val="231F20"/>
        </w:rPr>
        <w:t>the</w:t>
      </w:r>
      <w:r>
        <w:rPr>
          <w:color w:val="231F20"/>
          <w:spacing w:val="-6"/>
        </w:rPr>
        <w:t xml:space="preserve"> </w:t>
      </w:r>
      <w:r>
        <w:rPr>
          <w:color w:val="231F20"/>
        </w:rPr>
        <w:t>valuer</w:t>
      </w:r>
      <w:r>
        <w:rPr>
          <w:color w:val="231F20"/>
          <w:spacing w:val="-6"/>
        </w:rPr>
        <w:t xml:space="preserve"> </w:t>
      </w:r>
      <w:r>
        <w:rPr>
          <w:color w:val="231F20"/>
        </w:rPr>
        <w:t>(other buildings 10 – 40</w:t>
      </w:r>
      <w:r>
        <w:rPr>
          <w:color w:val="231F20"/>
          <w:spacing w:val="-2"/>
        </w:rPr>
        <w:t xml:space="preserve"> </w:t>
      </w:r>
      <w:r>
        <w:rPr>
          <w:color w:val="231F20"/>
        </w:rPr>
        <w:t>years)</w:t>
      </w:r>
    </w:p>
    <w:p w14:paraId="2CB84362" w14:textId="77777777" w:rsidR="00AF51F1" w:rsidRDefault="00711D3C">
      <w:pPr>
        <w:pStyle w:val="09-Bodytext"/>
        <w:numPr>
          <w:ilvl w:val="0"/>
          <w:numId w:val="13"/>
        </w:numPr>
      </w:pPr>
      <w:r>
        <w:rPr>
          <w:color w:val="231F20"/>
        </w:rPr>
        <w:t xml:space="preserve">vehicles, </w:t>
      </w:r>
      <w:proofErr w:type="gramStart"/>
      <w:r>
        <w:rPr>
          <w:color w:val="231F20"/>
        </w:rPr>
        <w:t>plant</w:t>
      </w:r>
      <w:proofErr w:type="gramEnd"/>
      <w:r>
        <w:rPr>
          <w:color w:val="231F20"/>
        </w:rPr>
        <w:t xml:space="preserve"> and </w:t>
      </w:r>
      <w:r>
        <w:rPr>
          <w:rFonts w:eastAsia="Arial"/>
          <w:color w:val="231F20"/>
          <w:lang w:eastAsia="en-GB" w:bidi="en-GB"/>
        </w:rPr>
        <w:t xml:space="preserve">equipment – straight line allocation over the useful life of the asset </w:t>
      </w:r>
      <w:r>
        <w:rPr>
          <w:color w:val="231F20"/>
        </w:rPr>
        <w:t xml:space="preserve">(5 – 20 years) </w:t>
      </w:r>
    </w:p>
    <w:p w14:paraId="33FDD773" w14:textId="77777777" w:rsidR="00AF51F1" w:rsidRDefault="00711D3C">
      <w:pPr>
        <w:pStyle w:val="09-Bodytext"/>
        <w:numPr>
          <w:ilvl w:val="0"/>
          <w:numId w:val="13"/>
        </w:numPr>
        <w:rPr>
          <w:color w:val="231F20"/>
        </w:rPr>
      </w:pPr>
      <w:r>
        <w:rPr>
          <w:color w:val="231F20"/>
        </w:rPr>
        <w:t>over the term of the remaining lease of David Dale House.</w:t>
      </w:r>
    </w:p>
    <w:p w14:paraId="2C3F303E" w14:textId="77777777" w:rsidR="00AF51F1" w:rsidRDefault="00AF51F1">
      <w:pPr>
        <w:pStyle w:val="09-Bodytext"/>
      </w:pPr>
    </w:p>
    <w:p w14:paraId="6ED84D79" w14:textId="3527D7F4" w:rsidR="00AF51F1" w:rsidRPr="00CD682E" w:rsidRDefault="00711D3C" w:rsidP="00CD682E">
      <w:pPr>
        <w:pStyle w:val="Heading3"/>
        <w:rPr>
          <w:rFonts w:ascii="Arial" w:eastAsia="Times New Roman" w:hAnsi="Arial" w:cs="Times New Roman"/>
          <w:b/>
          <w:bCs/>
          <w:color w:val="auto"/>
          <w:sz w:val="22"/>
          <w:szCs w:val="20"/>
        </w:rPr>
      </w:pPr>
      <w:r w:rsidRPr="00CD682E">
        <w:rPr>
          <w:rFonts w:ascii="Arial" w:eastAsia="Times New Roman" w:hAnsi="Arial" w:cs="Times New Roman"/>
          <w:b/>
          <w:bCs/>
          <w:color w:val="auto"/>
          <w:sz w:val="22"/>
          <w:szCs w:val="20"/>
        </w:rPr>
        <w:t>Note 2:  Prior Period Adjustments</w:t>
      </w:r>
    </w:p>
    <w:p w14:paraId="549482EE" w14:textId="77777777" w:rsidR="00F8584A" w:rsidRDefault="00F8584A">
      <w:pPr>
        <w:pStyle w:val="09-Bodytext"/>
        <w:rPr>
          <w:b/>
          <w:bCs/>
        </w:rPr>
      </w:pPr>
    </w:p>
    <w:p w14:paraId="7B210DAB" w14:textId="77777777" w:rsidR="00AF51F1" w:rsidRDefault="00711D3C">
      <w:pPr>
        <w:pStyle w:val="09-Bodytext"/>
      </w:pPr>
      <w:r>
        <w:t>There are no prior period adjustments included within the 2021/2022 Annual Accounts.</w:t>
      </w:r>
    </w:p>
    <w:p w14:paraId="3E165CEC" w14:textId="77777777" w:rsidR="00AF51F1" w:rsidRDefault="00AF51F1">
      <w:pPr>
        <w:pStyle w:val="09-Bodytext"/>
      </w:pPr>
    </w:p>
    <w:p w14:paraId="7AF790B0" w14:textId="77777777" w:rsidR="00AF51F1" w:rsidRPr="00CD682E" w:rsidRDefault="00711D3C" w:rsidP="00CD682E">
      <w:pPr>
        <w:pStyle w:val="Heading3"/>
        <w:rPr>
          <w:rFonts w:ascii="Arial" w:eastAsia="Times New Roman" w:hAnsi="Arial" w:cs="Times New Roman"/>
          <w:b/>
          <w:bCs/>
          <w:color w:val="auto"/>
          <w:sz w:val="22"/>
          <w:szCs w:val="20"/>
        </w:rPr>
      </w:pPr>
      <w:r w:rsidRPr="00CD682E">
        <w:rPr>
          <w:rFonts w:ascii="Arial" w:eastAsia="Times New Roman" w:hAnsi="Arial" w:cs="Times New Roman"/>
          <w:b/>
          <w:bCs/>
          <w:color w:val="auto"/>
          <w:sz w:val="22"/>
          <w:szCs w:val="20"/>
        </w:rPr>
        <w:t>Note 3:  Accounting Standards Issued but Not Adopted</w:t>
      </w:r>
    </w:p>
    <w:p w14:paraId="0676B0AB" w14:textId="77777777" w:rsidR="00AF51F1" w:rsidRDefault="00AF51F1">
      <w:pPr>
        <w:pStyle w:val="09-Bodytext"/>
      </w:pPr>
    </w:p>
    <w:p w14:paraId="126445FF" w14:textId="77777777" w:rsidR="00AF51F1" w:rsidRDefault="00711D3C">
      <w:pPr>
        <w:pStyle w:val="09-Bodytext"/>
      </w:pPr>
      <w:r>
        <w:t>The Accounting Code of Practice requires the Board to disclose information relating to the impact of an accounting change that is required by a new standard that has been issued but not yet adopted.</w:t>
      </w:r>
    </w:p>
    <w:p w14:paraId="2BDE121E" w14:textId="77777777" w:rsidR="00AF51F1" w:rsidRDefault="00AF51F1">
      <w:pPr>
        <w:pStyle w:val="09-Bodytext"/>
      </w:pPr>
    </w:p>
    <w:p w14:paraId="0169D182" w14:textId="77777777" w:rsidR="00AF51F1" w:rsidRDefault="00711D3C">
      <w:pPr>
        <w:pStyle w:val="09-Bodytext"/>
      </w:pPr>
      <w:r>
        <w:t>For this disclosure, the standards introduced by the 2022/23 Code, which are required to be applied by 1 April 2022, and will be adopted by the Board on 1 April 2022:</w:t>
      </w:r>
    </w:p>
    <w:p w14:paraId="53971C13" w14:textId="77777777" w:rsidR="00AF51F1" w:rsidRDefault="00AF51F1">
      <w:pPr>
        <w:pStyle w:val="09-Bodytext"/>
        <w:rPr>
          <w:shd w:val="clear" w:color="auto" w:fill="FFFF00"/>
        </w:rPr>
      </w:pPr>
    </w:p>
    <w:p w14:paraId="6F1A531C" w14:textId="77777777" w:rsidR="00F8584A" w:rsidRDefault="00711D3C" w:rsidP="00F8584A">
      <w:pPr>
        <w:pStyle w:val="09-Bodytext"/>
        <w:numPr>
          <w:ilvl w:val="0"/>
          <w:numId w:val="14"/>
        </w:numPr>
      </w:pPr>
      <w:r w:rsidRPr="00F8584A">
        <w:rPr>
          <w:b/>
        </w:rPr>
        <w:t>Annual Improvements to IFRS Standards 2018-2020</w:t>
      </w:r>
      <w:r w:rsidRPr="00F8584A">
        <w:rPr>
          <w:bCs/>
        </w:rPr>
        <w:br/>
      </w:r>
      <w:r>
        <w:t>IFRS 1(First Time Adoption) – the amendment relates to foreign operations of acquired subsidiaries transitioning to IFRS.</w:t>
      </w:r>
      <w:r>
        <w:br/>
        <w:t>IAS37 (Onerous Contracts) – the amendment clarifies the intention of the standard.</w:t>
      </w:r>
      <w:r>
        <w:br/>
        <w:t>IFRS16 (Leases) – the amendment removes a misleading example that is not referenced in the Code material.</w:t>
      </w:r>
      <w:r>
        <w:br/>
        <w:t>IAS41 (Agriculture) – one of a small number of IFRSs that are expected only to apply to a small number of local authorities</w:t>
      </w:r>
      <w:r w:rsidR="00F8584A">
        <w:t>.</w:t>
      </w:r>
    </w:p>
    <w:p w14:paraId="7788F60A" w14:textId="0AAAC957" w:rsidR="00F8584A" w:rsidRDefault="00711D3C" w:rsidP="00F8584A">
      <w:pPr>
        <w:pStyle w:val="09-Bodytext"/>
        <w:numPr>
          <w:ilvl w:val="0"/>
          <w:numId w:val="14"/>
        </w:numPr>
      </w:pPr>
      <w:r w:rsidRPr="00F8584A">
        <w:rPr>
          <w:b/>
        </w:rPr>
        <w:lastRenderedPageBreak/>
        <w:t>Property, Plant and Equipment: Proceeds Before Intended Use</w:t>
      </w:r>
      <w:r w:rsidRPr="00F8584A">
        <w:rPr>
          <w:b/>
        </w:rPr>
        <w:br/>
      </w:r>
      <w:r>
        <w:t>This amendment introduces changes to IAS16</w:t>
      </w:r>
    </w:p>
    <w:p w14:paraId="54FAD0C4" w14:textId="77777777" w:rsidR="00F8584A" w:rsidRDefault="00F8584A" w:rsidP="00F8584A">
      <w:pPr>
        <w:pStyle w:val="09-Bodytext"/>
      </w:pPr>
    </w:p>
    <w:p w14:paraId="6490D6C4" w14:textId="7BC608B1" w:rsidR="00AF51F1" w:rsidRDefault="00711D3C" w:rsidP="00F8584A">
      <w:pPr>
        <w:pStyle w:val="09-Bodytext"/>
      </w:pPr>
      <w:r>
        <w:t>Adoption of the standards by the Board on 1 April 2022 is not expected to have any impact on the financial statements</w:t>
      </w:r>
      <w:r w:rsidR="008B5CAC">
        <w:t>.</w:t>
      </w:r>
    </w:p>
    <w:p w14:paraId="7748747F" w14:textId="77777777" w:rsidR="008B5CAC" w:rsidRDefault="008B5CAC" w:rsidP="00F8584A">
      <w:pPr>
        <w:pStyle w:val="09-Bodytext"/>
      </w:pPr>
    </w:p>
    <w:p w14:paraId="238C0834" w14:textId="22D6E859" w:rsidR="00AF51F1" w:rsidRPr="00CD682E" w:rsidRDefault="000A11CA" w:rsidP="00CD682E">
      <w:pPr>
        <w:pStyle w:val="Heading3"/>
        <w:rPr>
          <w:rFonts w:ascii="Arial" w:eastAsia="Times New Roman" w:hAnsi="Arial" w:cs="Times New Roman"/>
          <w:b/>
          <w:bCs/>
          <w:color w:val="auto"/>
          <w:sz w:val="22"/>
          <w:szCs w:val="20"/>
        </w:rPr>
      </w:pPr>
      <w:r w:rsidRPr="00CD682E">
        <w:rPr>
          <w:rFonts w:ascii="Arial" w:eastAsia="Times New Roman" w:hAnsi="Arial" w:cs="Times New Roman"/>
          <w:b/>
          <w:bCs/>
          <w:color w:val="auto"/>
          <w:sz w:val="22"/>
          <w:szCs w:val="20"/>
        </w:rPr>
        <w:t>N</w:t>
      </w:r>
      <w:r w:rsidR="00711D3C" w:rsidRPr="00CD682E">
        <w:rPr>
          <w:rFonts w:ascii="Arial" w:eastAsia="Times New Roman" w:hAnsi="Arial" w:cs="Times New Roman"/>
          <w:b/>
          <w:bCs/>
          <w:color w:val="auto"/>
          <w:sz w:val="22"/>
          <w:szCs w:val="20"/>
        </w:rPr>
        <w:t>ote 4:  Critical Judgements in Applying Accounting Policies</w:t>
      </w:r>
    </w:p>
    <w:p w14:paraId="4E23750D" w14:textId="77777777" w:rsidR="00AF51F1" w:rsidRDefault="00AF51F1">
      <w:pPr>
        <w:pStyle w:val="09-Bodytext"/>
      </w:pPr>
    </w:p>
    <w:p w14:paraId="414E5C79" w14:textId="77777777" w:rsidR="00AF51F1" w:rsidRDefault="00711D3C">
      <w:pPr>
        <w:pStyle w:val="09-Bodytext"/>
      </w:pPr>
      <w:r>
        <w:t>In applying the accounting policies, the Board is obliged to highlight whether it has had to make certain judgements about complex transactions or those involving uncertainty about future events. The critical judgements made in the Annual Accounts are:</w:t>
      </w:r>
    </w:p>
    <w:p w14:paraId="763E653F" w14:textId="77777777" w:rsidR="00AF51F1" w:rsidRDefault="00AF51F1">
      <w:pPr>
        <w:pStyle w:val="09-Bodytext"/>
      </w:pPr>
    </w:p>
    <w:p w14:paraId="52BF132D" w14:textId="77777777" w:rsidR="00AF51F1" w:rsidRDefault="00711D3C">
      <w:pPr>
        <w:pStyle w:val="09-Bodytext"/>
        <w:numPr>
          <w:ilvl w:val="0"/>
          <w:numId w:val="15"/>
        </w:numPr>
      </w:pPr>
      <w:r w:rsidRPr="00157BD2">
        <w:t>In assessing any the potential for significant costs arising from Valuation Appeal Panels, the Board has considered its level of exposure as low and therefore no provision for an outflow of money has been made.</w:t>
      </w:r>
    </w:p>
    <w:p w14:paraId="074F97C4" w14:textId="77777777" w:rsidR="00AF51F1" w:rsidRPr="00157BD2" w:rsidRDefault="00AF51F1">
      <w:pPr>
        <w:pStyle w:val="09-Bodytext"/>
        <w:ind w:left="720"/>
      </w:pPr>
    </w:p>
    <w:p w14:paraId="137DFBB2" w14:textId="77777777" w:rsidR="00AF51F1" w:rsidRDefault="00711D3C">
      <w:pPr>
        <w:pStyle w:val="09-Bodytext"/>
        <w:numPr>
          <w:ilvl w:val="0"/>
          <w:numId w:val="15"/>
        </w:numPr>
      </w:pPr>
      <w:r w:rsidRPr="00157BD2">
        <w:t>The Accounts have been prepared on a going concern basis as it is expected that despite the uncertainty around future local government funding, a medium-term Financial Strategy has been developed in conjunction with the Boards constituent authorities.  This gives certainty regarding the medium-term financial outlook and the level of service provision.</w:t>
      </w:r>
    </w:p>
    <w:p w14:paraId="632D85B2" w14:textId="77777777" w:rsidR="00AF51F1" w:rsidRDefault="00AF51F1">
      <w:pPr>
        <w:pStyle w:val="09-Bodytext"/>
      </w:pPr>
    </w:p>
    <w:p w14:paraId="646EFA0B" w14:textId="77777777" w:rsidR="00AF51F1" w:rsidRDefault="00AF51F1">
      <w:pPr>
        <w:pStyle w:val="09-Bodytext"/>
        <w:rPr>
          <w:shd w:val="clear" w:color="auto" w:fill="FFFF00"/>
        </w:rPr>
      </w:pPr>
    </w:p>
    <w:p w14:paraId="107B65EB" w14:textId="77777777" w:rsidR="00AF51F1" w:rsidRPr="00CD682E" w:rsidRDefault="00711D3C" w:rsidP="00CD682E">
      <w:pPr>
        <w:pStyle w:val="Heading3"/>
        <w:ind w:left="851" w:hanging="851"/>
        <w:rPr>
          <w:rFonts w:ascii="Arial" w:eastAsia="Times New Roman" w:hAnsi="Arial" w:cs="Times New Roman"/>
          <w:b/>
          <w:bCs/>
          <w:color w:val="auto"/>
          <w:sz w:val="22"/>
          <w:szCs w:val="20"/>
        </w:rPr>
      </w:pPr>
      <w:r w:rsidRPr="00CD682E">
        <w:rPr>
          <w:rFonts w:ascii="Arial" w:eastAsia="Times New Roman" w:hAnsi="Arial" w:cs="Times New Roman"/>
          <w:b/>
          <w:bCs/>
          <w:color w:val="auto"/>
          <w:sz w:val="22"/>
          <w:szCs w:val="20"/>
        </w:rPr>
        <w:t>Note 5:  Notes to the Expenditure and Funding Analysis - Adjustments Between Funding and Accounting Basis</w:t>
      </w:r>
    </w:p>
    <w:p w14:paraId="6901ADC1" w14:textId="77777777" w:rsidR="00AF51F1" w:rsidRDefault="00AF51F1">
      <w:pPr>
        <w:pStyle w:val="09-Bodytext"/>
        <w:rPr>
          <w:shd w:val="clear" w:color="auto" w:fill="FFFF00"/>
        </w:rPr>
      </w:pPr>
    </w:p>
    <w:tbl>
      <w:tblPr>
        <w:tblW w:w="5000" w:type="pct"/>
        <w:tblCellMar>
          <w:left w:w="10" w:type="dxa"/>
          <w:right w:w="10" w:type="dxa"/>
        </w:tblCellMar>
        <w:tblLook w:val="0000" w:firstRow="0" w:lastRow="0" w:firstColumn="0" w:lastColumn="0" w:noHBand="0" w:noVBand="0"/>
      </w:tblPr>
      <w:tblGrid>
        <w:gridCol w:w="2954"/>
        <w:gridCol w:w="1549"/>
        <w:gridCol w:w="1549"/>
        <w:gridCol w:w="1415"/>
        <w:gridCol w:w="1549"/>
      </w:tblGrid>
      <w:tr w:rsidR="00AF51F1" w14:paraId="4C5A1268" w14:textId="77777777">
        <w:tc>
          <w:tcPr>
            <w:tcW w:w="2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3A699" w14:textId="77777777" w:rsidR="00AF51F1" w:rsidRDefault="00AF51F1">
            <w:pPr>
              <w:pStyle w:val="09-Bodytext"/>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AFB1E" w14:textId="77777777" w:rsidR="00AF51F1" w:rsidRDefault="00711D3C">
            <w:pPr>
              <w:pStyle w:val="09-Bodytext"/>
              <w:jc w:val="right"/>
              <w:rPr>
                <w:b/>
                <w:bCs/>
              </w:rPr>
            </w:pPr>
            <w:r>
              <w:rPr>
                <w:b/>
                <w:bCs/>
              </w:rPr>
              <w:t>2021/22</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0AF4D" w14:textId="77777777" w:rsidR="00AF51F1" w:rsidRDefault="00711D3C">
            <w:pPr>
              <w:pStyle w:val="09-Bodytext"/>
              <w:jc w:val="right"/>
              <w:rPr>
                <w:b/>
                <w:bCs/>
              </w:rPr>
            </w:pPr>
            <w:r>
              <w:rPr>
                <w:b/>
                <w:bCs/>
              </w:rPr>
              <w:t>2021/22</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1F6A9" w14:textId="77777777" w:rsidR="00AF51F1" w:rsidRDefault="00711D3C">
            <w:pPr>
              <w:pStyle w:val="09-Bodytext"/>
              <w:jc w:val="right"/>
              <w:rPr>
                <w:b/>
                <w:bCs/>
              </w:rPr>
            </w:pPr>
            <w:r>
              <w:rPr>
                <w:b/>
                <w:bCs/>
              </w:rPr>
              <w:t>2021/22</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09B7E" w14:textId="77777777" w:rsidR="00AF51F1" w:rsidRDefault="00711D3C">
            <w:pPr>
              <w:pStyle w:val="09-Bodytext"/>
              <w:jc w:val="right"/>
              <w:rPr>
                <w:b/>
                <w:bCs/>
              </w:rPr>
            </w:pPr>
            <w:r>
              <w:rPr>
                <w:b/>
                <w:bCs/>
              </w:rPr>
              <w:t>2021/22</w:t>
            </w:r>
          </w:p>
        </w:tc>
      </w:tr>
      <w:tr w:rsidR="00AF51F1" w14:paraId="1E625C18" w14:textId="77777777">
        <w:tc>
          <w:tcPr>
            <w:tcW w:w="2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0ED42" w14:textId="77777777" w:rsidR="00AF51F1" w:rsidRDefault="00AF51F1">
            <w:pPr>
              <w:pStyle w:val="09-Bodytext"/>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ACFC7" w14:textId="77777777" w:rsidR="00AF51F1" w:rsidRDefault="00AF51F1">
            <w:pPr>
              <w:pStyle w:val="09-Bodytext"/>
              <w:jc w:val="right"/>
              <w:rPr>
                <w:b/>
                <w:bCs/>
              </w:rPr>
            </w:pPr>
          </w:p>
          <w:p w14:paraId="1EA1ADC2" w14:textId="77777777" w:rsidR="00AF51F1" w:rsidRDefault="00AF51F1">
            <w:pPr>
              <w:pStyle w:val="09-Bodytext"/>
              <w:jc w:val="right"/>
              <w:rPr>
                <w:b/>
                <w:bCs/>
              </w:rPr>
            </w:pPr>
          </w:p>
          <w:p w14:paraId="3B93A240" w14:textId="77777777" w:rsidR="00AF51F1" w:rsidRDefault="00AF51F1">
            <w:pPr>
              <w:pStyle w:val="09-Bodytext"/>
              <w:jc w:val="right"/>
              <w:rPr>
                <w:b/>
                <w:bCs/>
              </w:rPr>
            </w:pPr>
          </w:p>
          <w:p w14:paraId="29C442A0" w14:textId="77777777" w:rsidR="00AF51F1" w:rsidRDefault="00711D3C">
            <w:pPr>
              <w:pStyle w:val="09-Bodytext"/>
              <w:jc w:val="right"/>
              <w:rPr>
                <w:b/>
                <w:bCs/>
              </w:rPr>
            </w:pPr>
            <w:r>
              <w:rPr>
                <w:b/>
                <w:bCs/>
              </w:rPr>
              <w:t>Adjustments for Capital Purposes</w:t>
            </w:r>
          </w:p>
          <w:p w14:paraId="693CB1A4" w14:textId="77777777" w:rsidR="00AF51F1" w:rsidRDefault="00711D3C">
            <w:pPr>
              <w:pStyle w:val="09-Bodytext"/>
              <w:jc w:val="right"/>
              <w:rPr>
                <w:b/>
                <w:bCs/>
              </w:rPr>
            </w:pPr>
            <w:r>
              <w:rPr>
                <w:b/>
                <w:bCs/>
              </w:rPr>
              <w:t>(</w:t>
            </w:r>
            <w:proofErr w:type="gramStart"/>
            <w:r>
              <w:rPr>
                <w:b/>
                <w:bCs/>
              </w:rPr>
              <w:t>note</w:t>
            </w:r>
            <w:proofErr w:type="gramEnd"/>
            <w:r>
              <w:rPr>
                <w:b/>
                <w:bCs/>
              </w:rPr>
              <w:t xml:space="preserve"> a)</w:t>
            </w:r>
          </w:p>
          <w:p w14:paraId="5877BF49" w14:textId="77777777" w:rsidR="00AF51F1" w:rsidRDefault="00711D3C">
            <w:pPr>
              <w:pStyle w:val="09-Bodytext"/>
              <w:jc w:val="right"/>
              <w:rPr>
                <w:b/>
                <w:bCs/>
              </w:rPr>
            </w:pPr>
            <w:r>
              <w:rPr>
                <w:b/>
                <w:bCs/>
              </w:rPr>
              <w:t>£000</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24424" w14:textId="77777777" w:rsidR="00AF51F1" w:rsidRDefault="00AF51F1">
            <w:pPr>
              <w:pStyle w:val="09-Bodytext"/>
              <w:jc w:val="right"/>
              <w:rPr>
                <w:b/>
                <w:bCs/>
              </w:rPr>
            </w:pPr>
          </w:p>
          <w:p w14:paraId="5D2CCCC7" w14:textId="77777777" w:rsidR="00AF51F1" w:rsidRDefault="00AF51F1">
            <w:pPr>
              <w:pStyle w:val="09-Bodytext"/>
              <w:jc w:val="right"/>
              <w:rPr>
                <w:b/>
                <w:bCs/>
              </w:rPr>
            </w:pPr>
          </w:p>
          <w:p w14:paraId="1AB8D4DF" w14:textId="77777777" w:rsidR="00AF51F1" w:rsidRDefault="00711D3C">
            <w:pPr>
              <w:pStyle w:val="09-Bodytext"/>
              <w:jc w:val="right"/>
              <w:rPr>
                <w:b/>
                <w:bCs/>
              </w:rPr>
            </w:pPr>
            <w:r>
              <w:rPr>
                <w:b/>
                <w:bCs/>
              </w:rPr>
              <w:t>Net Change for the Pensions Adjustments</w:t>
            </w:r>
          </w:p>
          <w:p w14:paraId="3FCB3C0A" w14:textId="77777777" w:rsidR="00AF51F1" w:rsidRDefault="00711D3C">
            <w:pPr>
              <w:pStyle w:val="09-Bodytext"/>
              <w:jc w:val="right"/>
              <w:rPr>
                <w:b/>
                <w:bCs/>
              </w:rPr>
            </w:pPr>
            <w:r>
              <w:rPr>
                <w:b/>
                <w:bCs/>
              </w:rPr>
              <w:t>(</w:t>
            </w:r>
            <w:proofErr w:type="gramStart"/>
            <w:r>
              <w:rPr>
                <w:b/>
                <w:bCs/>
              </w:rPr>
              <w:t>note</w:t>
            </w:r>
            <w:proofErr w:type="gramEnd"/>
            <w:r>
              <w:rPr>
                <w:b/>
                <w:bCs/>
              </w:rPr>
              <w:t xml:space="preserve"> b)</w:t>
            </w:r>
          </w:p>
          <w:p w14:paraId="72CB1AFB" w14:textId="77777777" w:rsidR="00AF51F1" w:rsidRDefault="00711D3C">
            <w:pPr>
              <w:pStyle w:val="09-Bodytext"/>
              <w:jc w:val="right"/>
              <w:rPr>
                <w:b/>
                <w:bCs/>
              </w:rPr>
            </w:pPr>
            <w:r>
              <w:rPr>
                <w:b/>
                <w:bCs/>
              </w:rPr>
              <w:t>£000</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6F6BB" w14:textId="77777777" w:rsidR="00AF51F1" w:rsidRDefault="00AF51F1">
            <w:pPr>
              <w:pStyle w:val="09-Bodytext"/>
              <w:jc w:val="right"/>
              <w:rPr>
                <w:b/>
                <w:bCs/>
              </w:rPr>
            </w:pPr>
          </w:p>
          <w:p w14:paraId="75C46555" w14:textId="77777777" w:rsidR="00AF51F1" w:rsidRDefault="00AF51F1">
            <w:pPr>
              <w:pStyle w:val="09-Bodytext"/>
              <w:jc w:val="right"/>
              <w:rPr>
                <w:b/>
                <w:bCs/>
              </w:rPr>
            </w:pPr>
          </w:p>
          <w:p w14:paraId="0A706265" w14:textId="77777777" w:rsidR="00AF51F1" w:rsidRDefault="00AF51F1">
            <w:pPr>
              <w:pStyle w:val="09-Bodytext"/>
              <w:jc w:val="right"/>
              <w:rPr>
                <w:b/>
                <w:bCs/>
              </w:rPr>
            </w:pPr>
          </w:p>
          <w:p w14:paraId="147B818E" w14:textId="77777777" w:rsidR="00AF51F1" w:rsidRDefault="00AF51F1">
            <w:pPr>
              <w:pStyle w:val="09-Bodytext"/>
              <w:jc w:val="right"/>
              <w:rPr>
                <w:b/>
                <w:bCs/>
              </w:rPr>
            </w:pPr>
          </w:p>
          <w:p w14:paraId="6125D54A" w14:textId="77777777" w:rsidR="00AF51F1" w:rsidRDefault="00711D3C">
            <w:pPr>
              <w:pStyle w:val="09-Bodytext"/>
              <w:jc w:val="right"/>
              <w:rPr>
                <w:b/>
                <w:bCs/>
              </w:rPr>
            </w:pPr>
            <w:r>
              <w:rPr>
                <w:b/>
                <w:bCs/>
              </w:rPr>
              <w:t>Other Differences</w:t>
            </w:r>
          </w:p>
          <w:p w14:paraId="03745446" w14:textId="77777777" w:rsidR="00AF51F1" w:rsidRDefault="00711D3C">
            <w:pPr>
              <w:pStyle w:val="09-Bodytext"/>
              <w:jc w:val="right"/>
              <w:rPr>
                <w:b/>
                <w:bCs/>
              </w:rPr>
            </w:pPr>
            <w:r>
              <w:rPr>
                <w:b/>
                <w:bCs/>
              </w:rPr>
              <w:t>(</w:t>
            </w:r>
            <w:proofErr w:type="gramStart"/>
            <w:r>
              <w:rPr>
                <w:b/>
                <w:bCs/>
              </w:rPr>
              <w:t>note</w:t>
            </w:r>
            <w:proofErr w:type="gramEnd"/>
            <w:r>
              <w:rPr>
                <w:b/>
                <w:bCs/>
              </w:rPr>
              <w:t xml:space="preserve"> c)</w:t>
            </w:r>
          </w:p>
          <w:p w14:paraId="20D1B37C" w14:textId="77777777" w:rsidR="00AF51F1" w:rsidRDefault="00711D3C">
            <w:pPr>
              <w:pStyle w:val="09-Bodytext"/>
              <w:jc w:val="right"/>
              <w:rPr>
                <w:b/>
                <w:bCs/>
              </w:rPr>
            </w:pPr>
            <w:r>
              <w:rPr>
                <w:b/>
                <w:bCs/>
              </w:rPr>
              <w:t>£000</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F5C69" w14:textId="77777777" w:rsidR="00AF51F1" w:rsidRDefault="00AF51F1">
            <w:pPr>
              <w:pStyle w:val="09-Bodytext"/>
              <w:jc w:val="right"/>
              <w:rPr>
                <w:b/>
                <w:bCs/>
              </w:rPr>
            </w:pPr>
          </w:p>
          <w:p w14:paraId="3EE9031C" w14:textId="77777777" w:rsidR="00AF51F1" w:rsidRDefault="00711D3C">
            <w:pPr>
              <w:pStyle w:val="09-Bodytext"/>
              <w:jc w:val="right"/>
              <w:rPr>
                <w:b/>
                <w:bCs/>
              </w:rPr>
            </w:pPr>
            <w:r>
              <w:rPr>
                <w:b/>
                <w:bCs/>
              </w:rPr>
              <w:t>Total Adjustments between Funding and Accounting Basis</w:t>
            </w:r>
          </w:p>
          <w:p w14:paraId="0C291048" w14:textId="77777777" w:rsidR="00AF51F1" w:rsidRDefault="00711D3C">
            <w:pPr>
              <w:pStyle w:val="09-Bodytext"/>
              <w:jc w:val="right"/>
              <w:rPr>
                <w:b/>
                <w:bCs/>
              </w:rPr>
            </w:pPr>
            <w:r>
              <w:rPr>
                <w:b/>
                <w:bCs/>
              </w:rPr>
              <w:t>£000</w:t>
            </w:r>
          </w:p>
        </w:tc>
      </w:tr>
      <w:tr w:rsidR="00AF51F1" w14:paraId="289584C5" w14:textId="77777777">
        <w:tc>
          <w:tcPr>
            <w:tcW w:w="2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3D890" w14:textId="77777777" w:rsidR="00AF51F1" w:rsidRDefault="00711D3C">
            <w:pPr>
              <w:pStyle w:val="09-Bodytext"/>
            </w:pPr>
            <w:r>
              <w:t>Employee Costs</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7EFF7" w14:textId="77777777" w:rsidR="00AF51F1" w:rsidRDefault="00711D3C">
            <w:pPr>
              <w:pStyle w:val="09-Bodytext"/>
              <w:jc w:val="right"/>
            </w:pPr>
            <w:r>
              <w:t>-</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DC6E6" w14:textId="77777777" w:rsidR="00AF51F1" w:rsidRDefault="00711D3C">
            <w:pPr>
              <w:pStyle w:val="09-Bodytext"/>
              <w:jc w:val="right"/>
            </w:pPr>
            <w:r>
              <w:t>701</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43C3F" w14:textId="77777777" w:rsidR="00AF51F1" w:rsidRDefault="00711D3C">
            <w:pPr>
              <w:pStyle w:val="09-Bodytext"/>
              <w:jc w:val="right"/>
            </w:pPr>
            <w:r>
              <w:t>(31)</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81CCC" w14:textId="77777777" w:rsidR="00AF51F1" w:rsidRDefault="00711D3C">
            <w:pPr>
              <w:pStyle w:val="09-Bodytext"/>
              <w:jc w:val="right"/>
            </w:pPr>
            <w:r>
              <w:t>670</w:t>
            </w:r>
          </w:p>
        </w:tc>
      </w:tr>
      <w:tr w:rsidR="00AF51F1" w14:paraId="2E632770" w14:textId="77777777">
        <w:tc>
          <w:tcPr>
            <w:tcW w:w="2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3380F" w14:textId="77777777" w:rsidR="00AF51F1" w:rsidRDefault="00711D3C">
            <w:pPr>
              <w:pStyle w:val="09-Bodytext"/>
            </w:pPr>
            <w:r>
              <w:t>Property Costs</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A5DA7" w14:textId="77777777" w:rsidR="00AF51F1" w:rsidRDefault="00711D3C">
            <w:pPr>
              <w:pStyle w:val="09-Bodytext"/>
              <w:jc w:val="right"/>
            </w:pPr>
            <w:r>
              <w:t>-</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7D770" w14:textId="77777777" w:rsidR="00AF51F1" w:rsidRDefault="00711D3C">
            <w:pPr>
              <w:pStyle w:val="09-Bodytext"/>
              <w:jc w:val="right"/>
            </w:pPr>
            <w:r>
              <w:t>-</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0C2A0" w14:textId="77777777" w:rsidR="00AF51F1" w:rsidRDefault="00711D3C">
            <w:pPr>
              <w:pStyle w:val="09-Bodytext"/>
              <w:jc w:val="right"/>
            </w:pPr>
            <w:r>
              <w:t>-</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72CEB" w14:textId="77777777" w:rsidR="00AF51F1" w:rsidRDefault="00711D3C">
            <w:pPr>
              <w:pStyle w:val="09-Bodytext"/>
              <w:jc w:val="right"/>
            </w:pPr>
            <w:r>
              <w:t>-</w:t>
            </w:r>
          </w:p>
        </w:tc>
      </w:tr>
      <w:tr w:rsidR="00AF51F1" w14:paraId="59A7E894" w14:textId="77777777">
        <w:tc>
          <w:tcPr>
            <w:tcW w:w="2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CB507" w14:textId="77777777" w:rsidR="00AF51F1" w:rsidRDefault="00711D3C">
            <w:pPr>
              <w:pStyle w:val="09-Bodytext"/>
            </w:pPr>
            <w:r>
              <w:t>Supplies and Services</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99002" w14:textId="77777777" w:rsidR="00AF51F1" w:rsidRDefault="00711D3C">
            <w:pPr>
              <w:pStyle w:val="09-Bodytext"/>
              <w:jc w:val="right"/>
            </w:pPr>
            <w:r>
              <w:t>-</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654A0" w14:textId="77777777" w:rsidR="00AF51F1" w:rsidRDefault="00711D3C">
            <w:pPr>
              <w:pStyle w:val="09-Bodytext"/>
              <w:jc w:val="right"/>
            </w:pPr>
            <w:r>
              <w:t>-</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944EF" w14:textId="77777777" w:rsidR="00AF51F1" w:rsidRDefault="00711D3C">
            <w:pPr>
              <w:pStyle w:val="09-Bodytext"/>
              <w:jc w:val="right"/>
            </w:pPr>
            <w:r>
              <w:t>-</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65140" w14:textId="77777777" w:rsidR="00AF51F1" w:rsidRDefault="00711D3C">
            <w:pPr>
              <w:pStyle w:val="09-Bodytext"/>
              <w:jc w:val="right"/>
            </w:pPr>
            <w:r>
              <w:t>-</w:t>
            </w:r>
          </w:p>
        </w:tc>
      </w:tr>
      <w:tr w:rsidR="00AF51F1" w14:paraId="56F67E44" w14:textId="77777777">
        <w:tc>
          <w:tcPr>
            <w:tcW w:w="2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257ED" w14:textId="77777777" w:rsidR="00AF51F1" w:rsidRDefault="00711D3C">
            <w:pPr>
              <w:pStyle w:val="09-Bodytext"/>
            </w:pPr>
            <w:r>
              <w:t>Transport and Plant</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3D0A1" w14:textId="77777777" w:rsidR="00AF51F1" w:rsidRDefault="00711D3C">
            <w:pPr>
              <w:pStyle w:val="09-Bodytext"/>
              <w:jc w:val="right"/>
            </w:pPr>
            <w:r>
              <w:t>-</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76670" w14:textId="77777777" w:rsidR="00AF51F1" w:rsidRDefault="00711D3C">
            <w:pPr>
              <w:pStyle w:val="09-Bodytext"/>
              <w:jc w:val="right"/>
            </w:pPr>
            <w:r>
              <w:t>-</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1A822" w14:textId="77777777" w:rsidR="00AF51F1" w:rsidRDefault="00711D3C">
            <w:pPr>
              <w:pStyle w:val="09-Bodytext"/>
              <w:jc w:val="right"/>
            </w:pPr>
            <w:r>
              <w:t>-</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C0B34" w14:textId="77777777" w:rsidR="00AF51F1" w:rsidRDefault="00711D3C">
            <w:pPr>
              <w:pStyle w:val="09-Bodytext"/>
              <w:jc w:val="right"/>
            </w:pPr>
            <w:r>
              <w:t>-</w:t>
            </w:r>
          </w:p>
        </w:tc>
      </w:tr>
      <w:tr w:rsidR="00AF51F1" w14:paraId="3E938826" w14:textId="77777777">
        <w:tc>
          <w:tcPr>
            <w:tcW w:w="2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6CF45" w14:textId="77777777" w:rsidR="00AF51F1" w:rsidRDefault="00711D3C">
            <w:pPr>
              <w:pStyle w:val="09-Bodytext"/>
            </w:pPr>
            <w:r>
              <w:t>Administration Costs</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A585E" w14:textId="77777777" w:rsidR="00AF51F1" w:rsidRDefault="00711D3C">
            <w:pPr>
              <w:pStyle w:val="09-Bodytext"/>
              <w:jc w:val="right"/>
            </w:pPr>
            <w:r>
              <w:t>-</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CE0DE" w14:textId="77777777" w:rsidR="00AF51F1" w:rsidRDefault="00711D3C">
            <w:pPr>
              <w:pStyle w:val="09-Bodytext"/>
              <w:jc w:val="right"/>
            </w:pPr>
            <w:r>
              <w:t>(27)</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B92DE" w14:textId="77777777" w:rsidR="00AF51F1" w:rsidRDefault="00711D3C">
            <w:pPr>
              <w:pStyle w:val="09-Bodytext"/>
              <w:jc w:val="right"/>
            </w:pPr>
            <w:r>
              <w:t>-</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E2FFB" w14:textId="77777777" w:rsidR="00AF51F1" w:rsidRDefault="00711D3C">
            <w:pPr>
              <w:pStyle w:val="09-Bodytext"/>
              <w:jc w:val="right"/>
            </w:pPr>
            <w:r>
              <w:t>(27)</w:t>
            </w:r>
          </w:p>
        </w:tc>
      </w:tr>
      <w:tr w:rsidR="00AF51F1" w14:paraId="20779EF9" w14:textId="77777777">
        <w:tc>
          <w:tcPr>
            <w:tcW w:w="2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AFD16" w14:textId="77777777" w:rsidR="00AF51F1" w:rsidRDefault="00711D3C">
            <w:pPr>
              <w:pStyle w:val="09-Bodytext"/>
            </w:pPr>
            <w:r>
              <w:t>Payments to Other Bodies</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C0252" w14:textId="77777777" w:rsidR="00AF51F1" w:rsidRDefault="00711D3C">
            <w:pPr>
              <w:pStyle w:val="09-Bodytext"/>
              <w:jc w:val="right"/>
            </w:pPr>
            <w:r>
              <w:t>-</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1C8A7" w14:textId="77777777" w:rsidR="00AF51F1" w:rsidRDefault="00711D3C">
            <w:pPr>
              <w:pStyle w:val="09-Bodytext"/>
              <w:jc w:val="right"/>
            </w:pPr>
            <w:r>
              <w:t>-</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B5F5F" w14:textId="77777777" w:rsidR="00AF51F1" w:rsidRDefault="00711D3C">
            <w:pPr>
              <w:pStyle w:val="09-Bodytext"/>
              <w:jc w:val="right"/>
            </w:pPr>
            <w:r>
              <w:t>-</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69BE5" w14:textId="77777777" w:rsidR="00AF51F1" w:rsidRDefault="00711D3C">
            <w:pPr>
              <w:pStyle w:val="09-Bodytext"/>
              <w:jc w:val="right"/>
            </w:pPr>
            <w:r>
              <w:t>-</w:t>
            </w:r>
          </w:p>
        </w:tc>
      </w:tr>
      <w:tr w:rsidR="00AF51F1" w14:paraId="37C27F40" w14:textId="77777777">
        <w:tc>
          <w:tcPr>
            <w:tcW w:w="2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A76D2" w14:textId="77777777" w:rsidR="00AF51F1" w:rsidRDefault="00711D3C">
            <w:pPr>
              <w:pStyle w:val="09-Bodytext"/>
            </w:pPr>
            <w:r>
              <w:t>Financing Charges</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D3141" w14:textId="77777777" w:rsidR="00AF51F1" w:rsidRDefault="00711D3C">
            <w:pPr>
              <w:pStyle w:val="09-Bodytext"/>
              <w:jc w:val="right"/>
            </w:pPr>
            <w:r>
              <w:t>21</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751B9" w14:textId="77777777" w:rsidR="00AF51F1" w:rsidRDefault="00711D3C">
            <w:pPr>
              <w:pStyle w:val="09-Bodytext"/>
              <w:jc w:val="right"/>
            </w:pPr>
            <w:r>
              <w:t>-</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6E824" w14:textId="77777777" w:rsidR="00AF51F1" w:rsidRDefault="00711D3C">
            <w:pPr>
              <w:pStyle w:val="09-Bodytext"/>
              <w:jc w:val="right"/>
            </w:pPr>
            <w:r>
              <w:t>-</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4A74A" w14:textId="77777777" w:rsidR="00AF51F1" w:rsidRDefault="00711D3C">
            <w:pPr>
              <w:pStyle w:val="09-Bodytext"/>
              <w:jc w:val="right"/>
            </w:pPr>
            <w:r>
              <w:t>21</w:t>
            </w:r>
          </w:p>
        </w:tc>
      </w:tr>
      <w:tr w:rsidR="00AF51F1" w14:paraId="5CAA529E" w14:textId="77777777">
        <w:tc>
          <w:tcPr>
            <w:tcW w:w="2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88B06" w14:textId="77777777" w:rsidR="00AF51F1" w:rsidRDefault="00711D3C">
            <w:pPr>
              <w:pStyle w:val="09-Bodytext"/>
              <w:rPr>
                <w:b/>
                <w:bCs/>
              </w:rPr>
            </w:pPr>
            <w:r>
              <w:rPr>
                <w:b/>
                <w:bCs/>
              </w:rPr>
              <w:t>Total Expenditure</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A37AC" w14:textId="77777777" w:rsidR="00AF51F1" w:rsidRDefault="00711D3C">
            <w:pPr>
              <w:pStyle w:val="09-Bodytext"/>
              <w:jc w:val="right"/>
              <w:rPr>
                <w:b/>
                <w:bCs/>
              </w:rPr>
            </w:pPr>
            <w:r>
              <w:rPr>
                <w:b/>
                <w:bCs/>
              </w:rPr>
              <w:t>21</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6C12A" w14:textId="77777777" w:rsidR="00AF51F1" w:rsidRDefault="00711D3C">
            <w:pPr>
              <w:pStyle w:val="09-Bodytext"/>
              <w:jc w:val="right"/>
              <w:rPr>
                <w:b/>
                <w:bCs/>
              </w:rPr>
            </w:pPr>
            <w:r>
              <w:rPr>
                <w:b/>
                <w:bCs/>
              </w:rPr>
              <w:t>674</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D2F84" w14:textId="77777777" w:rsidR="00AF51F1" w:rsidRDefault="00711D3C">
            <w:pPr>
              <w:pStyle w:val="09-Bodytext"/>
              <w:jc w:val="right"/>
              <w:rPr>
                <w:b/>
                <w:bCs/>
              </w:rPr>
            </w:pPr>
            <w:r>
              <w:rPr>
                <w:b/>
                <w:bCs/>
              </w:rPr>
              <w:t>(31)</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4AAD4" w14:textId="77777777" w:rsidR="00AF51F1" w:rsidRDefault="00711D3C">
            <w:pPr>
              <w:pStyle w:val="09-Bodytext"/>
              <w:jc w:val="right"/>
              <w:rPr>
                <w:b/>
                <w:bCs/>
              </w:rPr>
            </w:pPr>
            <w:r>
              <w:rPr>
                <w:b/>
                <w:bCs/>
              </w:rPr>
              <w:t>664</w:t>
            </w:r>
          </w:p>
        </w:tc>
      </w:tr>
      <w:tr w:rsidR="00AF51F1" w14:paraId="2388D04A" w14:textId="77777777">
        <w:tc>
          <w:tcPr>
            <w:tcW w:w="2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05BCE" w14:textId="77777777" w:rsidR="00AF51F1" w:rsidRDefault="00711D3C">
            <w:pPr>
              <w:pStyle w:val="09-Bodytext"/>
            </w:pPr>
            <w:r>
              <w:t>Income</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EB09A" w14:textId="77777777" w:rsidR="00AF51F1" w:rsidRDefault="00711D3C">
            <w:pPr>
              <w:pStyle w:val="09-Bodytext"/>
              <w:jc w:val="right"/>
            </w:pPr>
            <w:r>
              <w:t>-</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9B15A" w14:textId="77777777" w:rsidR="00AF51F1" w:rsidRDefault="00711D3C">
            <w:pPr>
              <w:pStyle w:val="09-Bodytext"/>
              <w:jc w:val="right"/>
            </w:pPr>
            <w:r>
              <w:t>-</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5A661" w14:textId="77777777" w:rsidR="00AF51F1" w:rsidRDefault="00711D3C">
            <w:pPr>
              <w:pStyle w:val="09-Bodytext"/>
              <w:jc w:val="right"/>
            </w:pPr>
            <w:r>
              <w:t>-</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CCB86" w14:textId="77777777" w:rsidR="00AF51F1" w:rsidRDefault="00711D3C">
            <w:pPr>
              <w:pStyle w:val="09-Bodytext"/>
              <w:jc w:val="right"/>
            </w:pPr>
            <w:r>
              <w:t>-</w:t>
            </w:r>
          </w:p>
        </w:tc>
      </w:tr>
      <w:tr w:rsidR="00AF51F1" w14:paraId="314394CF" w14:textId="77777777">
        <w:tc>
          <w:tcPr>
            <w:tcW w:w="2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B5D0E" w14:textId="77777777" w:rsidR="00AF51F1" w:rsidRDefault="00711D3C">
            <w:pPr>
              <w:pStyle w:val="09-Bodytext"/>
              <w:rPr>
                <w:b/>
                <w:bCs/>
              </w:rPr>
            </w:pPr>
            <w:r>
              <w:rPr>
                <w:b/>
                <w:bCs/>
              </w:rPr>
              <w:t>Net Cost of Services</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DC871" w14:textId="77777777" w:rsidR="00AF51F1" w:rsidRDefault="00711D3C">
            <w:pPr>
              <w:pStyle w:val="09-Bodytext"/>
              <w:jc w:val="right"/>
              <w:rPr>
                <w:b/>
                <w:bCs/>
              </w:rPr>
            </w:pPr>
            <w:r>
              <w:rPr>
                <w:b/>
                <w:bCs/>
              </w:rPr>
              <w:t>21</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9F4F2B" w14:textId="77777777" w:rsidR="00AF51F1" w:rsidRDefault="00711D3C">
            <w:pPr>
              <w:pStyle w:val="09-Bodytext"/>
              <w:jc w:val="right"/>
              <w:rPr>
                <w:b/>
                <w:bCs/>
              </w:rPr>
            </w:pPr>
            <w:r>
              <w:rPr>
                <w:b/>
                <w:bCs/>
              </w:rPr>
              <w:t>674</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D26B3" w14:textId="77777777" w:rsidR="00AF51F1" w:rsidRDefault="00711D3C">
            <w:pPr>
              <w:pStyle w:val="09-Bodytext"/>
              <w:jc w:val="right"/>
              <w:rPr>
                <w:b/>
                <w:bCs/>
              </w:rPr>
            </w:pPr>
            <w:r>
              <w:rPr>
                <w:b/>
                <w:bCs/>
              </w:rPr>
              <w:t>(31)</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26118" w14:textId="77777777" w:rsidR="00AF51F1" w:rsidRDefault="00711D3C">
            <w:pPr>
              <w:pStyle w:val="09-Bodytext"/>
              <w:jc w:val="right"/>
              <w:rPr>
                <w:b/>
                <w:bCs/>
              </w:rPr>
            </w:pPr>
            <w:r>
              <w:rPr>
                <w:b/>
                <w:bCs/>
              </w:rPr>
              <w:t>664</w:t>
            </w:r>
          </w:p>
        </w:tc>
      </w:tr>
      <w:tr w:rsidR="00AF51F1" w14:paraId="6DB7AFE7" w14:textId="77777777">
        <w:tc>
          <w:tcPr>
            <w:tcW w:w="2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0A0CB" w14:textId="77777777" w:rsidR="00AF51F1" w:rsidRDefault="00711D3C">
            <w:pPr>
              <w:pStyle w:val="09-Bodytext"/>
            </w:pPr>
            <w:r>
              <w:t>Financing and Investment Income and Expenditure</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54C2E" w14:textId="77777777" w:rsidR="00AF51F1" w:rsidRDefault="00711D3C">
            <w:pPr>
              <w:pStyle w:val="09-Bodytext"/>
              <w:jc w:val="right"/>
            </w:pPr>
            <w:r>
              <w:t>-</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88901" w14:textId="77777777" w:rsidR="00AF51F1" w:rsidRDefault="00711D3C">
            <w:pPr>
              <w:pStyle w:val="09-Bodytext"/>
              <w:jc w:val="right"/>
            </w:pPr>
            <w:r>
              <w:t>51</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CD4C9" w14:textId="77777777" w:rsidR="00AF51F1" w:rsidRDefault="00711D3C">
            <w:pPr>
              <w:pStyle w:val="09-Bodytext"/>
              <w:jc w:val="right"/>
            </w:pPr>
            <w:r>
              <w:t>-</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C12BD" w14:textId="77777777" w:rsidR="00AF51F1" w:rsidRDefault="00711D3C">
            <w:pPr>
              <w:pStyle w:val="09-Bodytext"/>
              <w:jc w:val="right"/>
            </w:pPr>
            <w:r>
              <w:t>51</w:t>
            </w:r>
          </w:p>
        </w:tc>
      </w:tr>
      <w:tr w:rsidR="00AF51F1" w14:paraId="35AB7BE4" w14:textId="77777777">
        <w:tc>
          <w:tcPr>
            <w:tcW w:w="2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4298E" w14:textId="77777777" w:rsidR="00AF51F1" w:rsidRDefault="00711D3C">
            <w:pPr>
              <w:pStyle w:val="09-Bodytext"/>
              <w:rPr>
                <w:b/>
                <w:bCs/>
              </w:rPr>
            </w:pPr>
            <w:r>
              <w:rPr>
                <w:b/>
                <w:bCs/>
              </w:rPr>
              <w:t>Surplus or Deficit</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AF125" w14:textId="77777777" w:rsidR="00AF51F1" w:rsidRDefault="00711D3C">
            <w:pPr>
              <w:pStyle w:val="09-Bodytext"/>
              <w:jc w:val="right"/>
              <w:rPr>
                <w:b/>
                <w:bCs/>
              </w:rPr>
            </w:pPr>
            <w:r>
              <w:rPr>
                <w:b/>
                <w:bCs/>
              </w:rPr>
              <w:t>21</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1F9FF" w14:textId="77777777" w:rsidR="00AF51F1" w:rsidRDefault="00711D3C">
            <w:pPr>
              <w:pStyle w:val="09-Bodytext"/>
              <w:jc w:val="right"/>
              <w:rPr>
                <w:b/>
                <w:bCs/>
              </w:rPr>
            </w:pPr>
            <w:r>
              <w:rPr>
                <w:b/>
                <w:bCs/>
              </w:rPr>
              <w:t>725</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09882" w14:textId="77777777" w:rsidR="00AF51F1" w:rsidRDefault="00711D3C">
            <w:pPr>
              <w:pStyle w:val="09-Bodytext"/>
              <w:jc w:val="right"/>
              <w:rPr>
                <w:b/>
                <w:bCs/>
              </w:rPr>
            </w:pPr>
            <w:r>
              <w:rPr>
                <w:b/>
                <w:bCs/>
              </w:rPr>
              <w:t>(31)</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78A26" w14:textId="77777777" w:rsidR="00AF51F1" w:rsidRDefault="00711D3C">
            <w:pPr>
              <w:pStyle w:val="09-Bodytext"/>
              <w:jc w:val="right"/>
              <w:rPr>
                <w:b/>
                <w:bCs/>
              </w:rPr>
            </w:pPr>
            <w:r>
              <w:rPr>
                <w:b/>
                <w:bCs/>
              </w:rPr>
              <w:t>715</w:t>
            </w:r>
          </w:p>
        </w:tc>
      </w:tr>
    </w:tbl>
    <w:p w14:paraId="0EBCBA7D" w14:textId="77777777" w:rsidR="00AF51F1" w:rsidRDefault="00AF51F1">
      <w:pPr>
        <w:pStyle w:val="09-Bodytext"/>
      </w:pPr>
    </w:p>
    <w:p w14:paraId="794B0D05" w14:textId="77777777" w:rsidR="00AF51F1" w:rsidRDefault="00AF51F1">
      <w:pPr>
        <w:pStyle w:val="09-Bodytext"/>
      </w:pPr>
    </w:p>
    <w:p w14:paraId="4A72D200" w14:textId="77777777" w:rsidR="00AF51F1" w:rsidRDefault="00AF51F1">
      <w:pPr>
        <w:pStyle w:val="09-Bodytext"/>
      </w:pPr>
    </w:p>
    <w:p w14:paraId="31EF2770" w14:textId="77777777" w:rsidR="00AF51F1" w:rsidRDefault="00AF51F1">
      <w:pPr>
        <w:pStyle w:val="09-Bodytext"/>
      </w:pPr>
    </w:p>
    <w:p w14:paraId="3EC8BA92" w14:textId="77777777" w:rsidR="00AF51F1" w:rsidRDefault="00AF51F1">
      <w:pPr>
        <w:pStyle w:val="09-Bodytext"/>
      </w:pPr>
    </w:p>
    <w:p w14:paraId="35AA466F" w14:textId="77777777" w:rsidR="00AF51F1" w:rsidRDefault="00AF51F1">
      <w:pPr>
        <w:pStyle w:val="09-Bodytext"/>
      </w:pPr>
    </w:p>
    <w:tbl>
      <w:tblPr>
        <w:tblW w:w="5000" w:type="pct"/>
        <w:tblCellMar>
          <w:left w:w="10" w:type="dxa"/>
          <w:right w:w="10" w:type="dxa"/>
        </w:tblCellMar>
        <w:tblLook w:val="0000" w:firstRow="0" w:lastRow="0" w:firstColumn="0" w:lastColumn="0" w:noHBand="0" w:noVBand="0"/>
      </w:tblPr>
      <w:tblGrid>
        <w:gridCol w:w="2954"/>
        <w:gridCol w:w="1549"/>
        <w:gridCol w:w="1549"/>
        <w:gridCol w:w="1415"/>
        <w:gridCol w:w="1549"/>
      </w:tblGrid>
      <w:tr w:rsidR="00AF51F1" w14:paraId="10DDD37B" w14:textId="77777777">
        <w:tc>
          <w:tcPr>
            <w:tcW w:w="2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473EF" w14:textId="77777777" w:rsidR="00AF51F1" w:rsidRDefault="00AF51F1">
            <w:pPr>
              <w:pStyle w:val="09-Bodytext"/>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0928F" w14:textId="77777777" w:rsidR="00AF51F1" w:rsidRDefault="00711D3C">
            <w:pPr>
              <w:pStyle w:val="09-Bodytext"/>
              <w:jc w:val="right"/>
              <w:rPr>
                <w:b/>
                <w:bCs/>
              </w:rPr>
            </w:pPr>
            <w:r>
              <w:rPr>
                <w:b/>
                <w:bCs/>
              </w:rPr>
              <w:t>2020/21</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33FA7" w14:textId="77777777" w:rsidR="00AF51F1" w:rsidRDefault="00711D3C">
            <w:pPr>
              <w:pStyle w:val="09-Bodytext"/>
              <w:jc w:val="right"/>
              <w:rPr>
                <w:b/>
                <w:bCs/>
              </w:rPr>
            </w:pPr>
            <w:r>
              <w:rPr>
                <w:b/>
                <w:bCs/>
              </w:rPr>
              <w:t>2020/21</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DE35A" w14:textId="77777777" w:rsidR="00AF51F1" w:rsidRDefault="00711D3C">
            <w:pPr>
              <w:pStyle w:val="09-Bodytext"/>
              <w:jc w:val="right"/>
              <w:rPr>
                <w:b/>
                <w:bCs/>
              </w:rPr>
            </w:pPr>
            <w:r>
              <w:rPr>
                <w:b/>
                <w:bCs/>
              </w:rPr>
              <w:t>2020/21</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7CCF0" w14:textId="77777777" w:rsidR="00AF51F1" w:rsidRDefault="00711D3C">
            <w:pPr>
              <w:pStyle w:val="09-Bodytext"/>
              <w:jc w:val="right"/>
              <w:rPr>
                <w:b/>
                <w:bCs/>
              </w:rPr>
            </w:pPr>
            <w:r>
              <w:rPr>
                <w:b/>
                <w:bCs/>
              </w:rPr>
              <w:t>2020/21</w:t>
            </w:r>
          </w:p>
        </w:tc>
      </w:tr>
      <w:tr w:rsidR="00AF51F1" w14:paraId="2674DCE3" w14:textId="77777777">
        <w:tc>
          <w:tcPr>
            <w:tcW w:w="2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6C351" w14:textId="77777777" w:rsidR="00AF51F1" w:rsidRDefault="00AF51F1">
            <w:pPr>
              <w:pStyle w:val="09-Bodytext"/>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FC5A8" w14:textId="77777777" w:rsidR="00AF51F1" w:rsidRDefault="00AF51F1">
            <w:pPr>
              <w:pStyle w:val="09-Bodytext"/>
              <w:jc w:val="right"/>
              <w:rPr>
                <w:b/>
                <w:bCs/>
              </w:rPr>
            </w:pPr>
          </w:p>
          <w:p w14:paraId="57CE7F98" w14:textId="77777777" w:rsidR="00AF51F1" w:rsidRDefault="00AF51F1">
            <w:pPr>
              <w:pStyle w:val="09-Bodytext"/>
              <w:jc w:val="right"/>
              <w:rPr>
                <w:b/>
                <w:bCs/>
              </w:rPr>
            </w:pPr>
          </w:p>
          <w:p w14:paraId="2801C196" w14:textId="77777777" w:rsidR="00AF51F1" w:rsidRDefault="00AF51F1">
            <w:pPr>
              <w:pStyle w:val="09-Bodytext"/>
              <w:jc w:val="right"/>
              <w:rPr>
                <w:b/>
                <w:bCs/>
              </w:rPr>
            </w:pPr>
          </w:p>
          <w:p w14:paraId="666C6963" w14:textId="77777777" w:rsidR="00AF51F1" w:rsidRDefault="00711D3C">
            <w:pPr>
              <w:pStyle w:val="09-Bodytext"/>
              <w:jc w:val="right"/>
              <w:rPr>
                <w:b/>
                <w:bCs/>
              </w:rPr>
            </w:pPr>
            <w:r>
              <w:rPr>
                <w:b/>
                <w:bCs/>
              </w:rPr>
              <w:t>Adjustments for Capital Purposes</w:t>
            </w:r>
          </w:p>
          <w:p w14:paraId="6813E942" w14:textId="77777777" w:rsidR="00AF51F1" w:rsidRDefault="00711D3C">
            <w:pPr>
              <w:pStyle w:val="09-Bodytext"/>
              <w:jc w:val="right"/>
              <w:rPr>
                <w:b/>
                <w:bCs/>
              </w:rPr>
            </w:pPr>
            <w:r>
              <w:rPr>
                <w:b/>
                <w:bCs/>
              </w:rPr>
              <w:t>(</w:t>
            </w:r>
            <w:proofErr w:type="gramStart"/>
            <w:r>
              <w:rPr>
                <w:b/>
                <w:bCs/>
              </w:rPr>
              <w:t>note</w:t>
            </w:r>
            <w:proofErr w:type="gramEnd"/>
            <w:r>
              <w:rPr>
                <w:b/>
                <w:bCs/>
              </w:rPr>
              <w:t xml:space="preserve"> a)</w:t>
            </w:r>
          </w:p>
          <w:p w14:paraId="5EE87133" w14:textId="77777777" w:rsidR="00AF51F1" w:rsidRDefault="00711D3C">
            <w:pPr>
              <w:pStyle w:val="09-Bodytext"/>
              <w:jc w:val="right"/>
              <w:rPr>
                <w:b/>
                <w:bCs/>
              </w:rPr>
            </w:pPr>
            <w:r>
              <w:rPr>
                <w:b/>
                <w:bCs/>
              </w:rPr>
              <w:t>£000</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BA4C5" w14:textId="77777777" w:rsidR="00AF51F1" w:rsidRDefault="00AF51F1">
            <w:pPr>
              <w:pStyle w:val="09-Bodytext"/>
              <w:jc w:val="right"/>
              <w:rPr>
                <w:b/>
                <w:bCs/>
              </w:rPr>
            </w:pPr>
          </w:p>
          <w:p w14:paraId="6EFCDAFA" w14:textId="77777777" w:rsidR="00AF51F1" w:rsidRDefault="00AF51F1">
            <w:pPr>
              <w:pStyle w:val="09-Bodytext"/>
              <w:jc w:val="right"/>
              <w:rPr>
                <w:b/>
                <w:bCs/>
              </w:rPr>
            </w:pPr>
          </w:p>
          <w:p w14:paraId="7569989C" w14:textId="77777777" w:rsidR="00AF51F1" w:rsidRDefault="00711D3C">
            <w:pPr>
              <w:pStyle w:val="09-Bodytext"/>
              <w:jc w:val="right"/>
              <w:rPr>
                <w:b/>
                <w:bCs/>
              </w:rPr>
            </w:pPr>
            <w:r>
              <w:rPr>
                <w:b/>
                <w:bCs/>
              </w:rPr>
              <w:t>Net Change for the Pensions Adjustments</w:t>
            </w:r>
          </w:p>
          <w:p w14:paraId="6F10992C" w14:textId="77777777" w:rsidR="00AF51F1" w:rsidRDefault="00711D3C">
            <w:pPr>
              <w:pStyle w:val="09-Bodytext"/>
              <w:jc w:val="right"/>
              <w:rPr>
                <w:b/>
                <w:bCs/>
              </w:rPr>
            </w:pPr>
            <w:r>
              <w:rPr>
                <w:b/>
                <w:bCs/>
              </w:rPr>
              <w:t>(</w:t>
            </w:r>
            <w:proofErr w:type="gramStart"/>
            <w:r>
              <w:rPr>
                <w:b/>
                <w:bCs/>
              </w:rPr>
              <w:t>note</w:t>
            </w:r>
            <w:proofErr w:type="gramEnd"/>
            <w:r>
              <w:rPr>
                <w:b/>
                <w:bCs/>
              </w:rPr>
              <w:t xml:space="preserve"> b)</w:t>
            </w:r>
          </w:p>
          <w:p w14:paraId="6AD11A9A" w14:textId="77777777" w:rsidR="00AF51F1" w:rsidRDefault="00711D3C">
            <w:pPr>
              <w:pStyle w:val="09-Bodytext"/>
              <w:jc w:val="right"/>
              <w:rPr>
                <w:b/>
                <w:bCs/>
              </w:rPr>
            </w:pPr>
            <w:r>
              <w:rPr>
                <w:b/>
                <w:bCs/>
              </w:rPr>
              <w:t>£000</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67C41" w14:textId="77777777" w:rsidR="00AF51F1" w:rsidRDefault="00AF51F1">
            <w:pPr>
              <w:pStyle w:val="09-Bodytext"/>
              <w:jc w:val="right"/>
              <w:rPr>
                <w:b/>
                <w:bCs/>
              </w:rPr>
            </w:pPr>
          </w:p>
          <w:p w14:paraId="7509C29F" w14:textId="77777777" w:rsidR="00AF51F1" w:rsidRDefault="00AF51F1">
            <w:pPr>
              <w:pStyle w:val="09-Bodytext"/>
              <w:jc w:val="right"/>
              <w:rPr>
                <w:b/>
                <w:bCs/>
              </w:rPr>
            </w:pPr>
          </w:p>
          <w:p w14:paraId="127C3517" w14:textId="77777777" w:rsidR="00AF51F1" w:rsidRDefault="00AF51F1">
            <w:pPr>
              <w:pStyle w:val="09-Bodytext"/>
              <w:jc w:val="right"/>
              <w:rPr>
                <w:b/>
                <w:bCs/>
              </w:rPr>
            </w:pPr>
          </w:p>
          <w:p w14:paraId="420D796A" w14:textId="77777777" w:rsidR="00AF51F1" w:rsidRDefault="00AF51F1">
            <w:pPr>
              <w:pStyle w:val="09-Bodytext"/>
              <w:jc w:val="right"/>
              <w:rPr>
                <w:b/>
                <w:bCs/>
              </w:rPr>
            </w:pPr>
          </w:p>
          <w:p w14:paraId="19F7AAFB" w14:textId="77777777" w:rsidR="00AF51F1" w:rsidRDefault="00711D3C">
            <w:pPr>
              <w:pStyle w:val="09-Bodytext"/>
              <w:jc w:val="right"/>
              <w:rPr>
                <w:b/>
                <w:bCs/>
              </w:rPr>
            </w:pPr>
            <w:r>
              <w:rPr>
                <w:b/>
                <w:bCs/>
              </w:rPr>
              <w:t>Other Differences</w:t>
            </w:r>
          </w:p>
          <w:p w14:paraId="4D671FFF" w14:textId="77777777" w:rsidR="00AF51F1" w:rsidRDefault="00711D3C">
            <w:pPr>
              <w:pStyle w:val="09-Bodytext"/>
              <w:jc w:val="right"/>
              <w:rPr>
                <w:b/>
                <w:bCs/>
              </w:rPr>
            </w:pPr>
            <w:r>
              <w:rPr>
                <w:b/>
                <w:bCs/>
              </w:rPr>
              <w:t>(</w:t>
            </w:r>
            <w:proofErr w:type="gramStart"/>
            <w:r>
              <w:rPr>
                <w:b/>
                <w:bCs/>
              </w:rPr>
              <w:t>note</w:t>
            </w:r>
            <w:proofErr w:type="gramEnd"/>
            <w:r>
              <w:rPr>
                <w:b/>
                <w:bCs/>
              </w:rPr>
              <w:t xml:space="preserve"> c)</w:t>
            </w:r>
          </w:p>
          <w:p w14:paraId="0843580D" w14:textId="77777777" w:rsidR="00AF51F1" w:rsidRDefault="00711D3C">
            <w:pPr>
              <w:pStyle w:val="09-Bodytext"/>
              <w:jc w:val="right"/>
              <w:rPr>
                <w:b/>
                <w:bCs/>
              </w:rPr>
            </w:pPr>
            <w:r>
              <w:rPr>
                <w:b/>
                <w:bCs/>
              </w:rPr>
              <w:t>£000</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5991B" w14:textId="77777777" w:rsidR="00AF51F1" w:rsidRDefault="00AF51F1">
            <w:pPr>
              <w:pStyle w:val="09-Bodytext"/>
              <w:jc w:val="right"/>
              <w:rPr>
                <w:b/>
                <w:bCs/>
              </w:rPr>
            </w:pPr>
          </w:p>
          <w:p w14:paraId="781F64FE" w14:textId="77777777" w:rsidR="00AF51F1" w:rsidRDefault="00711D3C">
            <w:pPr>
              <w:pStyle w:val="09-Bodytext"/>
              <w:jc w:val="right"/>
              <w:rPr>
                <w:b/>
                <w:bCs/>
              </w:rPr>
            </w:pPr>
            <w:r>
              <w:rPr>
                <w:b/>
                <w:bCs/>
              </w:rPr>
              <w:t>Total Adjustments between Funding and Accounting Basis</w:t>
            </w:r>
          </w:p>
          <w:p w14:paraId="6772495A" w14:textId="77777777" w:rsidR="00AF51F1" w:rsidRDefault="00711D3C">
            <w:pPr>
              <w:pStyle w:val="09-Bodytext"/>
              <w:jc w:val="right"/>
              <w:rPr>
                <w:b/>
                <w:bCs/>
              </w:rPr>
            </w:pPr>
            <w:r>
              <w:rPr>
                <w:b/>
                <w:bCs/>
              </w:rPr>
              <w:t>£000</w:t>
            </w:r>
          </w:p>
        </w:tc>
      </w:tr>
      <w:tr w:rsidR="00AF51F1" w14:paraId="44905B59" w14:textId="77777777">
        <w:tc>
          <w:tcPr>
            <w:tcW w:w="2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AA61C" w14:textId="77777777" w:rsidR="00AF51F1" w:rsidRDefault="00711D3C">
            <w:pPr>
              <w:pStyle w:val="09-Bodytext"/>
            </w:pPr>
            <w:r>
              <w:t>Employee Costs</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3827A" w14:textId="77777777" w:rsidR="00AF51F1" w:rsidRDefault="00711D3C">
            <w:pPr>
              <w:pStyle w:val="09-Bodytext"/>
              <w:jc w:val="right"/>
            </w:pPr>
            <w:r>
              <w:t>-</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130FF" w14:textId="77777777" w:rsidR="00AF51F1" w:rsidRDefault="00711D3C">
            <w:pPr>
              <w:pStyle w:val="09-Bodytext"/>
              <w:jc w:val="right"/>
            </w:pPr>
            <w:r>
              <w:t>315</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1AD10" w14:textId="77777777" w:rsidR="00AF51F1" w:rsidRDefault="00711D3C">
            <w:pPr>
              <w:pStyle w:val="09-Bodytext"/>
              <w:jc w:val="right"/>
            </w:pPr>
            <w:r>
              <w:t>85</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8ED31" w14:textId="77777777" w:rsidR="00AF51F1" w:rsidRDefault="00711D3C">
            <w:pPr>
              <w:pStyle w:val="09-Bodytext"/>
              <w:jc w:val="right"/>
            </w:pPr>
            <w:r>
              <w:t>400</w:t>
            </w:r>
          </w:p>
        </w:tc>
      </w:tr>
      <w:tr w:rsidR="00AF51F1" w14:paraId="48DCB485" w14:textId="77777777">
        <w:tc>
          <w:tcPr>
            <w:tcW w:w="2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D4A68" w14:textId="77777777" w:rsidR="00AF51F1" w:rsidRDefault="00711D3C">
            <w:pPr>
              <w:pStyle w:val="09-Bodytext"/>
            </w:pPr>
            <w:r>
              <w:t>Property Costs</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C7942" w14:textId="77777777" w:rsidR="00AF51F1" w:rsidRDefault="00711D3C">
            <w:pPr>
              <w:pStyle w:val="09-Bodytext"/>
              <w:jc w:val="right"/>
            </w:pPr>
            <w:r>
              <w:t>-</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4AE04" w14:textId="77777777" w:rsidR="00AF51F1" w:rsidRDefault="00711D3C">
            <w:pPr>
              <w:pStyle w:val="09-Bodytext"/>
              <w:jc w:val="right"/>
            </w:pPr>
            <w:r>
              <w:t>-</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4D5DF" w14:textId="77777777" w:rsidR="00AF51F1" w:rsidRDefault="00711D3C">
            <w:pPr>
              <w:pStyle w:val="09-Bodytext"/>
              <w:jc w:val="right"/>
            </w:pPr>
            <w:r>
              <w:t>-</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DC71F" w14:textId="77777777" w:rsidR="00AF51F1" w:rsidRDefault="00711D3C">
            <w:pPr>
              <w:pStyle w:val="09-Bodytext"/>
              <w:jc w:val="right"/>
            </w:pPr>
            <w:r>
              <w:t>-</w:t>
            </w:r>
          </w:p>
        </w:tc>
      </w:tr>
      <w:tr w:rsidR="00AF51F1" w14:paraId="6DC1B84C" w14:textId="77777777">
        <w:tc>
          <w:tcPr>
            <w:tcW w:w="2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63E5D" w14:textId="77777777" w:rsidR="00AF51F1" w:rsidRDefault="00711D3C">
            <w:pPr>
              <w:pStyle w:val="09-Bodytext"/>
            </w:pPr>
            <w:r>
              <w:t>Supplies and Services</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34CC7" w14:textId="77777777" w:rsidR="00AF51F1" w:rsidRDefault="00711D3C">
            <w:pPr>
              <w:pStyle w:val="09-Bodytext"/>
              <w:jc w:val="right"/>
            </w:pPr>
            <w:r>
              <w:t>-</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543B6" w14:textId="77777777" w:rsidR="00AF51F1" w:rsidRDefault="00711D3C">
            <w:pPr>
              <w:pStyle w:val="09-Bodytext"/>
              <w:jc w:val="right"/>
            </w:pPr>
            <w:r>
              <w:t>-</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3379A7" w14:textId="77777777" w:rsidR="00AF51F1" w:rsidRDefault="00711D3C">
            <w:pPr>
              <w:pStyle w:val="09-Bodytext"/>
              <w:jc w:val="right"/>
            </w:pPr>
            <w:r>
              <w:t>-</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EE204" w14:textId="77777777" w:rsidR="00AF51F1" w:rsidRDefault="00711D3C">
            <w:pPr>
              <w:pStyle w:val="09-Bodytext"/>
              <w:jc w:val="right"/>
            </w:pPr>
            <w:r>
              <w:t>-</w:t>
            </w:r>
          </w:p>
        </w:tc>
      </w:tr>
      <w:tr w:rsidR="00AF51F1" w14:paraId="1A0E9760" w14:textId="77777777">
        <w:tc>
          <w:tcPr>
            <w:tcW w:w="2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83DC3" w14:textId="77777777" w:rsidR="00AF51F1" w:rsidRDefault="00711D3C">
            <w:pPr>
              <w:pStyle w:val="09-Bodytext"/>
            </w:pPr>
            <w:r>
              <w:t>Transport and Plant</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628F3" w14:textId="77777777" w:rsidR="00AF51F1" w:rsidRDefault="00711D3C">
            <w:pPr>
              <w:pStyle w:val="09-Bodytext"/>
              <w:jc w:val="right"/>
            </w:pPr>
            <w:r>
              <w:t>-</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B436" w14:textId="77777777" w:rsidR="00AF51F1" w:rsidRDefault="00711D3C">
            <w:pPr>
              <w:pStyle w:val="09-Bodytext"/>
              <w:jc w:val="right"/>
            </w:pPr>
            <w:r>
              <w:t>-</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775D3" w14:textId="77777777" w:rsidR="00AF51F1" w:rsidRDefault="00711D3C">
            <w:pPr>
              <w:pStyle w:val="09-Bodytext"/>
              <w:jc w:val="right"/>
            </w:pPr>
            <w:r>
              <w:t>-</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00363" w14:textId="77777777" w:rsidR="00AF51F1" w:rsidRDefault="00711D3C">
            <w:pPr>
              <w:pStyle w:val="09-Bodytext"/>
              <w:jc w:val="right"/>
            </w:pPr>
            <w:r>
              <w:t>-</w:t>
            </w:r>
          </w:p>
        </w:tc>
      </w:tr>
      <w:tr w:rsidR="00AF51F1" w14:paraId="5382B097" w14:textId="77777777">
        <w:tc>
          <w:tcPr>
            <w:tcW w:w="2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2105F" w14:textId="77777777" w:rsidR="00AF51F1" w:rsidRDefault="00711D3C">
            <w:pPr>
              <w:pStyle w:val="09-Bodytext"/>
            </w:pPr>
            <w:r>
              <w:t>Administration Costs</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AE5D3" w14:textId="77777777" w:rsidR="00AF51F1" w:rsidRDefault="00711D3C">
            <w:pPr>
              <w:pStyle w:val="09-Bodytext"/>
              <w:jc w:val="right"/>
            </w:pPr>
            <w:r>
              <w:t>-</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FBD46" w14:textId="77777777" w:rsidR="00AF51F1" w:rsidRDefault="00711D3C">
            <w:pPr>
              <w:pStyle w:val="09-Bodytext"/>
              <w:jc w:val="right"/>
            </w:pPr>
            <w:r>
              <w:t>16</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CF64F" w14:textId="77777777" w:rsidR="00AF51F1" w:rsidRDefault="00711D3C">
            <w:pPr>
              <w:pStyle w:val="09-Bodytext"/>
              <w:jc w:val="right"/>
            </w:pPr>
            <w:r>
              <w:t>-</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1D9F0" w14:textId="77777777" w:rsidR="00AF51F1" w:rsidRDefault="00711D3C">
            <w:pPr>
              <w:pStyle w:val="09-Bodytext"/>
              <w:jc w:val="right"/>
            </w:pPr>
            <w:r>
              <w:t>16</w:t>
            </w:r>
          </w:p>
        </w:tc>
      </w:tr>
      <w:tr w:rsidR="00AF51F1" w14:paraId="1A8BC4C9" w14:textId="77777777">
        <w:tc>
          <w:tcPr>
            <w:tcW w:w="2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D79FB" w14:textId="77777777" w:rsidR="00AF51F1" w:rsidRDefault="00711D3C">
            <w:pPr>
              <w:pStyle w:val="09-Bodytext"/>
            </w:pPr>
            <w:r>
              <w:t>Payments to Other Bodies</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D65F5" w14:textId="77777777" w:rsidR="00AF51F1" w:rsidRDefault="00711D3C">
            <w:pPr>
              <w:pStyle w:val="09-Bodytext"/>
              <w:jc w:val="right"/>
            </w:pPr>
            <w:r>
              <w:t>-</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D1E55" w14:textId="77777777" w:rsidR="00AF51F1" w:rsidRDefault="00711D3C">
            <w:pPr>
              <w:pStyle w:val="09-Bodytext"/>
              <w:jc w:val="right"/>
            </w:pPr>
            <w:r>
              <w:t>-</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14A70" w14:textId="77777777" w:rsidR="00AF51F1" w:rsidRDefault="00711D3C">
            <w:pPr>
              <w:pStyle w:val="09-Bodytext"/>
              <w:jc w:val="right"/>
            </w:pPr>
            <w:r>
              <w:t>-</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1A74C" w14:textId="77777777" w:rsidR="00AF51F1" w:rsidRDefault="00711D3C">
            <w:pPr>
              <w:pStyle w:val="09-Bodytext"/>
              <w:jc w:val="right"/>
            </w:pPr>
            <w:r>
              <w:t>-</w:t>
            </w:r>
          </w:p>
        </w:tc>
      </w:tr>
      <w:tr w:rsidR="00AF51F1" w14:paraId="00D03DA0" w14:textId="77777777">
        <w:tc>
          <w:tcPr>
            <w:tcW w:w="2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91301" w14:textId="77777777" w:rsidR="00AF51F1" w:rsidRDefault="00711D3C">
            <w:pPr>
              <w:pStyle w:val="09-Bodytext"/>
            </w:pPr>
            <w:r>
              <w:t>Financing Charges</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B1237" w14:textId="77777777" w:rsidR="00AF51F1" w:rsidRDefault="00711D3C">
            <w:pPr>
              <w:pStyle w:val="09-Bodytext"/>
              <w:jc w:val="right"/>
            </w:pPr>
            <w:r>
              <w:t>(175)</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67D69" w14:textId="77777777" w:rsidR="00AF51F1" w:rsidRDefault="00711D3C">
            <w:pPr>
              <w:pStyle w:val="09-Bodytext"/>
              <w:jc w:val="right"/>
            </w:pPr>
            <w:r>
              <w:t>-</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5C5D0" w14:textId="77777777" w:rsidR="00AF51F1" w:rsidRDefault="00711D3C">
            <w:pPr>
              <w:pStyle w:val="09-Bodytext"/>
              <w:jc w:val="right"/>
            </w:pPr>
            <w:r>
              <w:t>-</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29DE6" w14:textId="77777777" w:rsidR="00AF51F1" w:rsidRDefault="00711D3C">
            <w:pPr>
              <w:pStyle w:val="09-Bodytext"/>
              <w:jc w:val="right"/>
            </w:pPr>
            <w:r>
              <w:t>(175)</w:t>
            </w:r>
          </w:p>
        </w:tc>
      </w:tr>
      <w:tr w:rsidR="00AF51F1" w14:paraId="55929FD2" w14:textId="77777777">
        <w:tc>
          <w:tcPr>
            <w:tcW w:w="2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8D806" w14:textId="77777777" w:rsidR="00AF51F1" w:rsidRDefault="00711D3C">
            <w:pPr>
              <w:pStyle w:val="09-Bodytext"/>
              <w:rPr>
                <w:b/>
                <w:bCs/>
              </w:rPr>
            </w:pPr>
            <w:r>
              <w:rPr>
                <w:b/>
                <w:bCs/>
              </w:rPr>
              <w:t>Total Expenditure</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44129" w14:textId="77777777" w:rsidR="00AF51F1" w:rsidRDefault="00711D3C">
            <w:pPr>
              <w:pStyle w:val="09-Bodytext"/>
              <w:jc w:val="right"/>
              <w:rPr>
                <w:b/>
                <w:bCs/>
              </w:rPr>
            </w:pPr>
            <w:r>
              <w:rPr>
                <w:b/>
                <w:bCs/>
              </w:rPr>
              <w:t>(175)</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4A52C" w14:textId="77777777" w:rsidR="00AF51F1" w:rsidRDefault="00711D3C">
            <w:pPr>
              <w:pStyle w:val="09-Bodytext"/>
              <w:jc w:val="right"/>
              <w:rPr>
                <w:b/>
                <w:bCs/>
              </w:rPr>
            </w:pPr>
            <w:r>
              <w:rPr>
                <w:b/>
                <w:bCs/>
              </w:rPr>
              <w:t>331</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17CAD" w14:textId="77777777" w:rsidR="00AF51F1" w:rsidRDefault="00711D3C">
            <w:pPr>
              <w:pStyle w:val="09-Bodytext"/>
              <w:jc w:val="right"/>
              <w:rPr>
                <w:b/>
                <w:bCs/>
              </w:rPr>
            </w:pPr>
            <w:r>
              <w:rPr>
                <w:b/>
                <w:bCs/>
              </w:rPr>
              <w:t>85</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8BDB6" w14:textId="77777777" w:rsidR="00AF51F1" w:rsidRDefault="00711D3C">
            <w:pPr>
              <w:pStyle w:val="09-Bodytext"/>
              <w:jc w:val="right"/>
              <w:rPr>
                <w:b/>
                <w:bCs/>
              </w:rPr>
            </w:pPr>
            <w:r>
              <w:rPr>
                <w:b/>
                <w:bCs/>
              </w:rPr>
              <w:t>241</w:t>
            </w:r>
          </w:p>
        </w:tc>
      </w:tr>
      <w:tr w:rsidR="00AF51F1" w14:paraId="7A38A35F" w14:textId="77777777">
        <w:tc>
          <w:tcPr>
            <w:tcW w:w="2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A17AC" w14:textId="77777777" w:rsidR="00AF51F1" w:rsidRDefault="00711D3C">
            <w:pPr>
              <w:pStyle w:val="09-Bodytext"/>
            </w:pPr>
            <w:r>
              <w:t>Income</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B2044" w14:textId="77777777" w:rsidR="00AF51F1" w:rsidRDefault="00711D3C">
            <w:pPr>
              <w:pStyle w:val="09-Bodytext"/>
              <w:jc w:val="right"/>
            </w:pPr>
            <w:r>
              <w:t>-</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19111" w14:textId="77777777" w:rsidR="00AF51F1" w:rsidRDefault="00711D3C">
            <w:pPr>
              <w:pStyle w:val="09-Bodytext"/>
              <w:jc w:val="right"/>
            </w:pPr>
            <w:r>
              <w:t>-</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71423" w14:textId="77777777" w:rsidR="00AF51F1" w:rsidRDefault="00711D3C">
            <w:pPr>
              <w:pStyle w:val="09-Bodytext"/>
              <w:jc w:val="right"/>
            </w:pPr>
            <w:r>
              <w:t>-</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C702F" w14:textId="77777777" w:rsidR="00AF51F1" w:rsidRDefault="00711D3C">
            <w:pPr>
              <w:pStyle w:val="09-Bodytext"/>
              <w:jc w:val="right"/>
            </w:pPr>
            <w:r>
              <w:t>-</w:t>
            </w:r>
          </w:p>
        </w:tc>
      </w:tr>
      <w:tr w:rsidR="00AF51F1" w14:paraId="3B2F6847" w14:textId="77777777">
        <w:tc>
          <w:tcPr>
            <w:tcW w:w="2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06DB8" w14:textId="77777777" w:rsidR="00AF51F1" w:rsidRDefault="00711D3C">
            <w:pPr>
              <w:pStyle w:val="09-Bodytext"/>
              <w:rPr>
                <w:b/>
                <w:bCs/>
              </w:rPr>
            </w:pPr>
            <w:r>
              <w:rPr>
                <w:b/>
                <w:bCs/>
              </w:rPr>
              <w:t>Net Cost of Services</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E0F92" w14:textId="77777777" w:rsidR="00AF51F1" w:rsidRDefault="00711D3C">
            <w:pPr>
              <w:pStyle w:val="09-Bodytext"/>
              <w:jc w:val="right"/>
              <w:rPr>
                <w:b/>
                <w:bCs/>
              </w:rPr>
            </w:pPr>
            <w:r>
              <w:rPr>
                <w:b/>
                <w:bCs/>
              </w:rPr>
              <w:t>(175)</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84B2D" w14:textId="77777777" w:rsidR="00AF51F1" w:rsidRDefault="00711D3C">
            <w:pPr>
              <w:pStyle w:val="09-Bodytext"/>
              <w:jc w:val="right"/>
              <w:rPr>
                <w:b/>
                <w:bCs/>
              </w:rPr>
            </w:pPr>
            <w:r>
              <w:rPr>
                <w:b/>
                <w:bCs/>
              </w:rPr>
              <w:t>331</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8CFD9" w14:textId="77777777" w:rsidR="00AF51F1" w:rsidRDefault="00711D3C">
            <w:pPr>
              <w:pStyle w:val="09-Bodytext"/>
              <w:jc w:val="right"/>
              <w:rPr>
                <w:b/>
                <w:bCs/>
              </w:rPr>
            </w:pPr>
            <w:r>
              <w:rPr>
                <w:b/>
                <w:bCs/>
              </w:rPr>
              <w:t>85</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A6AC8" w14:textId="77777777" w:rsidR="00AF51F1" w:rsidRDefault="00711D3C">
            <w:pPr>
              <w:pStyle w:val="09-Bodytext"/>
              <w:jc w:val="right"/>
              <w:rPr>
                <w:b/>
                <w:bCs/>
              </w:rPr>
            </w:pPr>
            <w:r>
              <w:rPr>
                <w:b/>
                <w:bCs/>
              </w:rPr>
              <w:t>241</w:t>
            </w:r>
          </w:p>
        </w:tc>
      </w:tr>
      <w:tr w:rsidR="00AF51F1" w14:paraId="6F7D814B" w14:textId="77777777">
        <w:tc>
          <w:tcPr>
            <w:tcW w:w="2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03BAB" w14:textId="77777777" w:rsidR="00AF51F1" w:rsidRDefault="00711D3C">
            <w:pPr>
              <w:pStyle w:val="09-Bodytext"/>
            </w:pPr>
            <w:r>
              <w:t>Financing and Investment Income and Expenditure</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DDAB8" w14:textId="77777777" w:rsidR="00AF51F1" w:rsidRDefault="00711D3C">
            <w:pPr>
              <w:pStyle w:val="09-Bodytext"/>
              <w:jc w:val="right"/>
            </w:pPr>
            <w:r>
              <w:t>-</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CCF9C" w14:textId="77777777" w:rsidR="00AF51F1" w:rsidRDefault="00711D3C">
            <w:pPr>
              <w:pStyle w:val="09-Bodytext"/>
              <w:jc w:val="right"/>
            </w:pPr>
            <w:r>
              <w:t>30</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57CCD" w14:textId="77777777" w:rsidR="00AF51F1" w:rsidRDefault="00711D3C">
            <w:pPr>
              <w:pStyle w:val="09-Bodytext"/>
              <w:jc w:val="right"/>
            </w:pPr>
            <w:r>
              <w:t>-</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171F4" w14:textId="77777777" w:rsidR="00AF51F1" w:rsidRDefault="00711D3C">
            <w:pPr>
              <w:pStyle w:val="09-Bodytext"/>
              <w:jc w:val="right"/>
            </w:pPr>
            <w:r>
              <w:t>30</w:t>
            </w:r>
          </w:p>
        </w:tc>
      </w:tr>
      <w:tr w:rsidR="00AF51F1" w14:paraId="1950AEBC" w14:textId="77777777">
        <w:tc>
          <w:tcPr>
            <w:tcW w:w="2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60A6A" w14:textId="77777777" w:rsidR="00AF51F1" w:rsidRDefault="00711D3C">
            <w:pPr>
              <w:pStyle w:val="09-Bodytext"/>
              <w:rPr>
                <w:b/>
                <w:bCs/>
              </w:rPr>
            </w:pPr>
            <w:r>
              <w:rPr>
                <w:b/>
                <w:bCs/>
              </w:rPr>
              <w:t>Surplus or Deficit</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A5B32" w14:textId="77777777" w:rsidR="00AF51F1" w:rsidRDefault="00711D3C">
            <w:pPr>
              <w:pStyle w:val="09-Bodytext"/>
              <w:jc w:val="right"/>
              <w:rPr>
                <w:b/>
                <w:bCs/>
              </w:rPr>
            </w:pPr>
            <w:r>
              <w:rPr>
                <w:b/>
                <w:bCs/>
              </w:rPr>
              <w:t>(175)</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9936F" w14:textId="77777777" w:rsidR="00AF51F1" w:rsidRDefault="00711D3C">
            <w:pPr>
              <w:pStyle w:val="09-Bodytext"/>
              <w:jc w:val="right"/>
              <w:rPr>
                <w:b/>
                <w:bCs/>
              </w:rPr>
            </w:pPr>
            <w:r>
              <w:rPr>
                <w:b/>
                <w:bCs/>
              </w:rPr>
              <w:t>361</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9F659" w14:textId="77777777" w:rsidR="00AF51F1" w:rsidRDefault="00711D3C">
            <w:pPr>
              <w:pStyle w:val="09-Bodytext"/>
              <w:jc w:val="right"/>
              <w:rPr>
                <w:b/>
                <w:bCs/>
              </w:rPr>
            </w:pPr>
            <w:r>
              <w:rPr>
                <w:b/>
                <w:bCs/>
              </w:rPr>
              <w:t>85</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C72E6" w14:textId="77777777" w:rsidR="00AF51F1" w:rsidRDefault="00711D3C">
            <w:pPr>
              <w:pStyle w:val="09-Bodytext"/>
              <w:jc w:val="right"/>
              <w:rPr>
                <w:b/>
                <w:bCs/>
              </w:rPr>
            </w:pPr>
            <w:r>
              <w:rPr>
                <w:b/>
                <w:bCs/>
              </w:rPr>
              <w:t>271</w:t>
            </w:r>
          </w:p>
        </w:tc>
      </w:tr>
    </w:tbl>
    <w:p w14:paraId="474C1938" w14:textId="77777777" w:rsidR="00AF51F1" w:rsidRDefault="00AF51F1">
      <w:pPr>
        <w:pStyle w:val="09-Bodytext"/>
        <w:rPr>
          <w:shd w:val="clear" w:color="auto" w:fill="FFFF00"/>
        </w:rPr>
      </w:pPr>
    </w:p>
    <w:p w14:paraId="4D7058A7" w14:textId="77777777" w:rsidR="00AF51F1" w:rsidRDefault="00711D3C">
      <w:pPr>
        <w:pStyle w:val="09-Bodytext"/>
        <w:rPr>
          <w:b/>
          <w:bCs/>
        </w:rPr>
      </w:pPr>
      <w:r>
        <w:rPr>
          <w:b/>
          <w:bCs/>
        </w:rPr>
        <w:t>Note a – Adjustment for Capital Purposes</w:t>
      </w:r>
    </w:p>
    <w:p w14:paraId="6A05DA4E" w14:textId="77777777" w:rsidR="00AF51F1" w:rsidRDefault="00711D3C">
      <w:pPr>
        <w:pStyle w:val="09-Bodytext"/>
      </w:pPr>
      <w:r>
        <w:t>This column adds in depreciation and impairment and revaluation of gains and losses in the financing charges line.</w:t>
      </w:r>
    </w:p>
    <w:p w14:paraId="7D94C1CB" w14:textId="77777777" w:rsidR="00AF51F1" w:rsidRDefault="00AF51F1">
      <w:pPr>
        <w:pStyle w:val="09-Bodytext"/>
      </w:pPr>
    </w:p>
    <w:p w14:paraId="4EDB7252" w14:textId="77777777" w:rsidR="00AF51F1" w:rsidRDefault="00711D3C">
      <w:pPr>
        <w:pStyle w:val="09-Bodytext"/>
        <w:rPr>
          <w:b/>
          <w:bCs/>
        </w:rPr>
      </w:pPr>
      <w:r>
        <w:rPr>
          <w:b/>
          <w:bCs/>
        </w:rPr>
        <w:t>Note b – Net Change for the Pensions Adjustment</w:t>
      </w:r>
    </w:p>
    <w:p w14:paraId="53BD8B14" w14:textId="77777777" w:rsidR="00AF51F1" w:rsidRDefault="00711D3C">
      <w:pPr>
        <w:pStyle w:val="09-Bodytext"/>
      </w:pPr>
      <w:r>
        <w:t>Net change for the removal of pension contributions and the addition of IAS19 Employee benefits pension related expenditure and income:</w:t>
      </w:r>
    </w:p>
    <w:p w14:paraId="298D6F8F" w14:textId="77777777" w:rsidR="00AF51F1" w:rsidRDefault="00711D3C">
      <w:pPr>
        <w:pStyle w:val="09-Bodytext"/>
        <w:numPr>
          <w:ilvl w:val="0"/>
          <w:numId w:val="16"/>
        </w:numPr>
      </w:pPr>
      <w:r>
        <w:t>For Employee Costs and Administration Costs this represents the removal of the employer contributions made by the Board as allowed by statute and the replacement with current service costs and past service costs.</w:t>
      </w:r>
    </w:p>
    <w:p w14:paraId="31FD8D01" w14:textId="77777777" w:rsidR="00AF51F1" w:rsidRDefault="00711D3C">
      <w:pPr>
        <w:pStyle w:val="09-Bodytext"/>
        <w:numPr>
          <w:ilvl w:val="0"/>
          <w:numId w:val="16"/>
        </w:numPr>
      </w:pPr>
      <w:r>
        <w:t xml:space="preserve">For Financing and Investment Income and Expenditure – the net interest on the defined benefit liability is charged to the Comprehensive Income and Expenditure Statement. </w:t>
      </w:r>
    </w:p>
    <w:p w14:paraId="671720D9" w14:textId="77777777" w:rsidR="00AF51F1" w:rsidRDefault="00AF51F1">
      <w:pPr>
        <w:pStyle w:val="09-Bodytext"/>
      </w:pPr>
    </w:p>
    <w:p w14:paraId="7D541B97" w14:textId="77777777" w:rsidR="00AF51F1" w:rsidRDefault="00711D3C">
      <w:pPr>
        <w:pStyle w:val="09-Bodytext"/>
        <w:rPr>
          <w:b/>
          <w:bCs/>
        </w:rPr>
      </w:pPr>
      <w:r>
        <w:rPr>
          <w:b/>
          <w:bCs/>
        </w:rPr>
        <w:t>Note c – Other Differences</w:t>
      </w:r>
    </w:p>
    <w:p w14:paraId="1EB36C3D" w14:textId="77777777" w:rsidR="00AF51F1" w:rsidRDefault="00711D3C">
      <w:pPr>
        <w:pStyle w:val="09-Bodytext"/>
      </w:pPr>
      <w:r>
        <w:t xml:space="preserve">Other differences between amounts debited/credited to the Comprehensive Income and Expenditure Statement and amounts payable /receivable to be recognised under statute: </w:t>
      </w:r>
    </w:p>
    <w:p w14:paraId="644C27B7" w14:textId="77777777" w:rsidR="00AF51F1" w:rsidRDefault="00711D3C">
      <w:pPr>
        <w:pStyle w:val="09-Bodytext"/>
        <w:numPr>
          <w:ilvl w:val="0"/>
          <w:numId w:val="17"/>
        </w:numPr>
      </w:pPr>
      <w:r>
        <w:t xml:space="preserve">For Employee Costs this represents the accrual made for the cost of holiday/leave entitlements earned by employees but not taken before the year-end which employees can carry forward into the next financial year. These require to be included within the Net Cost of Services under generally accepted accounting practices, however, are not chargeable to the General Fund.   </w:t>
      </w:r>
    </w:p>
    <w:p w14:paraId="589C833A" w14:textId="77777777" w:rsidR="00AF51F1" w:rsidRDefault="00AF51F1">
      <w:pPr>
        <w:pStyle w:val="09-Bodytext"/>
      </w:pPr>
    </w:p>
    <w:p w14:paraId="0763298E" w14:textId="77777777" w:rsidR="00AF51F1" w:rsidRPr="00CA2E48" w:rsidRDefault="00711D3C" w:rsidP="00CA2E48">
      <w:pPr>
        <w:pStyle w:val="Heading3"/>
        <w:ind w:left="851" w:hanging="851"/>
        <w:rPr>
          <w:b/>
          <w:bCs/>
        </w:rPr>
      </w:pPr>
      <w:r w:rsidRPr="00CA2E48">
        <w:rPr>
          <w:rFonts w:ascii="Arial" w:eastAsia="Times New Roman" w:hAnsi="Arial" w:cs="Times New Roman"/>
          <w:b/>
          <w:bCs/>
          <w:color w:val="auto"/>
          <w:sz w:val="22"/>
          <w:szCs w:val="20"/>
        </w:rPr>
        <w:t>Note 6:  Adjustments between Accounting Basis and Funding Basis Under      Regulations</w:t>
      </w:r>
    </w:p>
    <w:p w14:paraId="023DEC21" w14:textId="77777777" w:rsidR="00AF51F1" w:rsidRDefault="00AF51F1">
      <w:pPr>
        <w:pStyle w:val="09-Bodytext"/>
      </w:pPr>
    </w:p>
    <w:p w14:paraId="1C9862AA" w14:textId="77777777" w:rsidR="00AF51F1" w:rsidRDefault="00711D3C">
      <w:pPr>
        <w:pStyle w:val="09-Bodytext"/>
      </w:pPr>
      <w:r>
        <w:t>This note details the adjustments that are made to the total Comprehensive Income and Expenditure Statement recognised by the Board in the year in accordance with proper accounting practice to arrive at the resources that are specified by statutory provisions as being available to the Board to meet future revenue expenditure.</w:t>
      </w:r>
    </w:p>
    <w:p w14:paraId="1D0DE1D7" w14:textId="77777777" w:rsidR="00AF51F1" w:rsidRDefault="00AF51F1">
      <w:pPr>
        <w:pStyle w:val="09-Bodytext"/>
        <w:pageBreakBefore/>
      </w:pPr>
    </w:p>
    <w:tbl>
      <w:tblPr>
        <w:tblW w:w="5000" w:type="pct"/>
        <w:tblCellMar>
          <w:left w:w="10" w:type="dxa"/>
          <w:right w:w="10" w:type="dxa"/>
        </w:tblCellMar>
        <w:tblLook w:val="0000" w:firstRow="0" w:lastRow="0" w:firstColumn="0" w:lastColumn="0" w:noHBand="0" w:noVBand="0"/>
      </w:tblPr>
      <w:tblGrid>
        <w:gridCol w:w="6232"/>
        <w:gridCol w:w="1417"/>
        <w:gridCol w:w="1367"/>
      </w:tblGrid>
      <w:tr w:rsidR="00AF51F1" w14:paraId="2ECBF0ED" w14:textId="77777777">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DA390" w14:textId="77777777" w:rsidR="00AF51F1" w:rsidRDefault="00711D3C">
            <w:pPr>
              <w:pStyle w:val="09-Bodytext"/>
              <w:rPr>
                <w:b/>
                <w:bCs/>
              </w:rPr>
            </w:pPr>
            <w:r>
              <w:rPr>
                <w:b/>
                <w:bCs/>
              </w:rPr>
              <w:t>Useable Reserves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89678" w14:textId="77777777" w:rsidR="00AF51F1" w:rsidRDefault="00AF51F1">
            <w:pPr>
              <w:pStyle w:val="09-Bodytext"/>
              <w:jc w:val="right"/>
            </w:pP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13431" w14:textId="77777777" w:rsidR="00AF51F1" w:rsidRDefault="00AF51F1">
            <w:pPr>
              <w:pStyle w:val="09-Bodytext"/>
              <w:jc w:val="right"/>
            </w:pPr>
          </w:p>
        </w:tc>
      </w:tr>
      <w:tr w:rsidR="00AF51F1" w14:paraId="66BBB736" w14:textId="77777777">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6859F" w14:textId="77777777" w:rsidR="00AF51F1" w:rsidRDefault="00AF51F1">
            <w:pPr>
              <w:pStyle w:val="09-Bodytext"/>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10739" w14:textId="77777777" w:rsidR="00AF51F1" w:rsidRDefault="00711D3C">
            <w:pPr>
              <w:pStyle w:val="09-Bodytext"/>
              <w:jc w:val="right"/>
              <w:rPr>
                <w:b/>
                <w:bCs/>
              </w:rPr>
            </w:pPr>
            <w:r>
              <w:rPr>
                <w:b/>
                <w:bCs/>
              </w:rPr>
              <w:t>£000</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EBCBE" w14:textId="77777777" w:rsidR="00AF51F1" w:rsidRDefault="00711D3C">
            <w:pPr>
              <w:pStyle w:val="09-Bodytext"/>
              <w:jc w:val="right"/>
              <w:rPr>
                <w:b/>
                <w:bCs/>
              </w:rPr>
            </w:pPr>
            <w:r>
              <w:rPr>
                <w:b/>
                <w:bCs/>
              </w:rPr>
              <w:t>£000</w:t>
            </w:r>
          </w:p>
        </w:tc>
      </w:tr>
      <w:tr w:rsidR="00AF51F1" w14:paraId="68BD570C" w14:textId="77777777">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08BED" w14:textId="77777777" w:rsidR="00AF51F1" w:rsidRDefault="00AF51F1">
            <w:pPr>
              <w:pStyle w:val="09-Bodytext"/>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4DFDC" w14:textId="77777777" w:rsidR="00AF51F1" w:rsidRDefault="00711D3C">
            <w:pPr>
              <w:pStyle w:val="09-Bodytext"/>
              <w:jc w:val="right"/>
              <w:rPr>
                <w:b/>
                <w:bCs/>
              </w:rPr>
            </w:pPr>
            <w:r>
              <w:rPr>
                <w:b/>
                <w:bCs/>
              </w:rPr>
              <w:t>2021/22</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CCFD0" w14:textId="77777777" w:rsidR="00AF51F1" w:rsidRDefault="00711D3C">
            <w:pPr>
              <w:pStyle w:val="09-Bodytext"/>
              <w:jc w:val="right"/>
              <w:rPr>
                <w:b/>
                <w:bCs/>
              </w:rPr>
            </w:pPr>
            <w:r>
              <w:rPr>
                <w:b/>
                <w:bCs/>
              </w:rPr>
              <w:t>2020/21</w:t>
            </w:r>
          </w:p>
        </w:tc>
      </w:tr>
      <w:tr w:rsidR="00AF51F1" w14:paraId="43D8E1B5" w14:textId="77777777">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14432" w14:textId="77777777" w:rsidR="00AF51F1" w:rsidRDefault="00711D3C">
            <w:pPr>
              <w:pStyle w:val="09-Bodytext"/>
              <w:rPr>
                <w:b/>
                <w:bCs/>
              </w:rPr>
            </w:pPr>
            <w:r>
              <w:rPr>
                <w:b/>
                <w:bCs/>
              </w:rPr>
              <w:t>Adjustments to Revenue Resources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20E08" w14:textId="77777777" w:rsidR="00AF51F1" w:rsidRDefault="00AF51F1">
            <w:pPr>
              <w:pStyle w:val="09-Bodytext"/>
              <w:jc w:val="right"/>
            </w:pP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0F08B" w14:textId="77777777" w:rsidR="00AF51F1" w:rsidRDefault="00AF51F1">
            <w:pPr>
              <w:pStyle w:val="09-Bodytext"/>
              <w:jc w:val="right"/>
            </w:pPr>
          </w:p>
        </w:tc>
      </w:tr>
      <w:tr w:rsidR="00AF51F1" w14:paraId="75E20841" w14:textId="77777777">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7B517" w14:textId="77777777" w:rsidR="00AF51F1" w:rsidRDefault="00711D3C">
            <w:pPr>
              <w:pStyle w:val="09-Bodytext"/>
            </w:pPr>
            <w:r>
              <w:t>Pension Costs (transferred to (or from) the Pensions Reserve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B397B" w14:textId="77777777" w:rsidR="00AF51F1" w:rsidRDefault="00711D3C">
            <w:pPr>
              <w:pStyle w:val="09-Bodytext"/>
              <w:jc w:val="right"/>
            </w:pPr>
            <w:r>
              <w:rPr>
                <w:rStyle w:val="04-Normalcharacter"/>
              </w:rPr>
              <w:t>(3,473)</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8DC8D" w14:textId="77777777" w:rsidR="00AF51F1" w:rsidRDefault="00711D3C">
            <w:pPr>
              <w:pStyle w:val="09-Bodytext"/>
              <w:jc w:val="right"/>
            </w:pPr>
            <w:r>
              <w:t>1,082</w:t>
            </w:r>
          </w:p>
        </w:tc>
      </w:tr>
      <w:tr w:rsidR="00AF51F1" w14:paraId="18EFFD65" w14:textId="77777777">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38957" w14:textId="77777777" w:rsidR="00AF51F1" w:rsidRDefault="00711D3C">
            <w:pPr>
              <w:pStyle w:val="09-Bodytext"/>
            </w:pPr>
            <w:r>
              <w:t xml:space="preserve">Holiday Pay (transferred to the Employee Statutory Adjustment Account)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8C5D1" w14:textId="77777777" w:rsidR="00AF51F1" w:rsidRDefault="00711D3C">
            <w:pPr>
              <w:pStyle w:val="09-Bodytext"/>
              <w:jc w:val="right"/>
            </w:pPr>
            <w:r>
              <w:t>(31)</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9BC77" w14:textId="77777777" w:rsidR="00AF51F1" w:rsidRDefault="00711D3C">
            <w:pPr>
              <w:pStyle w:val="09-Bodytext"/>
              <w:jc w:val="right"/>
            </w:pPr>
            <w:r>
              <w:t>85</w:t>
            </w:r>
          </w:p>
        </w:tc>
      </w:tr>
      <w:tr w:rsidR="00AF51F1" w14:paraId="72FE9AD4" w14:textId="77777777">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8CF34" w14:textId="77777777" w:rsidR="00AF51F1" w:rsidRDefault="00711D3C">
            <w:pPr>
              <w:pStyle w:val="09-Bodytext"/>
            </w:pPr>
            <w:r>
              <w:t>Reversal of entries in the surplus or deficit on the Provision of Services in relation to capital expenditure (these items are charged to the Capital Adjustment Account)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1CA9F" w14:textId="77777777" w:rsidR="00AF51F1" w:rsidRDefault="00711D3C">
            <w:pPr>
              <w:pStyle w:val="09-Bodytext"/>
              <w:jc w:val="right"/>
            </w:pPr>
            <w:r>
              <w:t>21</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6E93C" w14:textId="77777777" w:rsidR="00AF51F1" w:rsidRDefault="00711D3C">
            <w:pPr>
              <w:pStyle w:val="09-Bodytext"/>
              <w:jc w:val="right"/>
            </w:pPr>
            <w:r>
              <w:t>6</w:t>
            </w:r>
          </w:p>
        </w:tc>
      </w:tr>
      <w:tr w:rsidR="00AF51F1" w14:paraId="782FB8C5" w14:textId="77777777">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6B6EB" w14:textId="77777777" w:rsidR="00AF51F1" w:rsidRDefault="00711D3C">
            <w:pPr>
              <w:pStyle w:val="09-Bodytext"/>
              <w:rPr>
                <w:b/>
                <w:bCs/>
              </w:rPr>
            </w:pPr>
            <w:r>
              <w:rPr>
                <w:b/>
                <w:bCs/>
              </w:rPr>
              <w:t>Total Adjustments to Revenue Resources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4319C" w14:textId="77777777" w:rsidR="00AF51F1" w:rsidRDefault="00711D3C">
            <w:pPr>
              <w:pStyle w:val="09-Bodytext"/>
              <w:jc w:val="right"/>
              <w:rPr>
                <w:b/>
                <w:bCs/>
              </w:rPr>
            </w:pPr>
            <w:r>
              <w:rPr>
                <w:b/>
                <w:bCs/>
              </w:rPr>
              <w:t>(3,483)</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FF826" w14:textId="77777777" w:rsidR="00AF51F1" w:rsidRDefault="00711D3C">
            <w:pPr>
              <w:pStyle w:val="09-Bodytext"/>
              <w:jc w:val="right"/>
              <w:rPr>
                <w:b/>
                <w:bCs/>
              </w:rPr>
            </w:pPr>
            <w:r>
              <w:rPr>
                <w:b/>
                <w:bCs/>
              </w:rPr>
              <w:t>1,173</w:t>
            </w:r>
          </w:p>
        </w:tc>
      </w:tr>
      <w:tr w:rsidR="00AF51F1" w14:paraId="765D8975" w14:textId="77777777">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05E24" w14:textId="77777777" w:rsidR="00AF51F1" w:rsidRDefault="00711D3C">
            <w:pPr>
              <w:pStyle w:val="09-Bodytext"/>
              <w:rPr>
                <w:b/>
                <w:bCs/>
              </w:rPr>
            </w:pPr>
            <w:r>
              <w:rPr>
                <w:b/>
                <w:bCs/>
              </w:rPr>
              <w:t>Adjustments between Revenue and Capital Resources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87F98" w14:textId="77777777" w:rsidR="00AF51F1" w:rsidRDefault="00AF51F1">
            <w:pPr>
              <w:pStyle w:val="09-Bodytext"/>
              <w:jc w:val="right"/>
            </w:pP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3AF01" w14:textId="77777777" w:rsidR="00AF51F1" w:rsidRDefault="00AF51F1">
            <w:pPr>
              <w:pStyle w:val="09-Bodytext"/>
              <w:jc w:val="right"/>
            </w:pPr>
          </w:p>
        </w:tc>
      </w:tr>
      <w:tr w:rsidR="00AF51F1" w14:paraId="6BC8EA0D" w14:textId="77777777">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F545F" w14:textId="77777777" w:rsidR="00AF51F1" w:rsidRDefault="00711D3C">
            <w:pPr>
              <w:pStyle w:val="09-Bodytext"/>
            </w:pPr>
            <w:r>
              <w:t>Capital expenditure finance from revenue balances (transfer to Capital Adjustment Account)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4BEEB" w14:textId="77777777" w:rsidR="00AF51F1" w:rsidRDefault="00711D3C">
            <w:pPr>
              <w:pStyle w:val="09-Bodytext"/>
              <w:jc w:val="right"/>
            </w:pPr>
            <w:r>
              <w:t>0</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D0154" w14:textId="77777777" w:rsidR="00AF51F1" w:rsidRDefault="00711D3C">
            <w:pPr>
              <w:pStyle w:val="09-Bodytext"/>
              <w:jc w:val="right"/>
            </w:pPr>
            <w:r>
              <w:t>(181)</w:t>
            </w:r>
          </w:p>
        </w:tc>
      </w:tr>
      <w:tr w:rsidR="00AF51F1" w14:paraId="23AC3335" w14:textId="77777777">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7DC34" w14:textId="77777777" w:rsidR="00AF51F1" w:rsidRDefault="00711D3C">
            <w:pPr>
              <w:pStyle w:val="09-Bodytext"/>
              <w:rPr>
                <w:b/>
                <w:bCs/>
              </w:rPr>
            </w:pPr>
            <w:r>
              <w:rPr>
                <w:b/>
                <w:bCs/>
              </w:rPr>
              <w:t>Total Adjustments between Revenue and Capital Resources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76486" w14:textId="77777777" w:rsidR="00AF51F1" w:rsidRDefault="00711D3C">
            <w:pPr>
              <w:pStyle w:val="09-Bodytext"/>
              <w:jc w:val="right"/>
              <w:rPr>
                <w:b/>
                <w:bCs/>
              </w:rPr>
            </w:pPr>
            <w:r>
              <w:rPr>
                <w:b/>
                <w:bCs/>
              </w:rPr>
              <w:t>0</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833E8" w14:textId="77777777" w:rsidR="00AF51F1" w:rsidRDefault="00711D3C">
            <w:pPr>
              <w:pStyle w:val="09-Bodytext"/>
              <w:jc w:val="right"/>
              <w:rPr>
                <w:b/>
                <w:bCs/>
              </w:rPr>
            </w:pPr>
            <w:r>
              <w:rPr>
                <w:b/>
                <w:bCs/>
              </w:rPr>
              <w:t>(181)</w:t>
            </w:r>
          </w:p>
        </w:tc>
      </w:tr>
      <w:tr w:rsidR="00AF51F1" w14:paraId="7C4C3F60" w14:textId="77777777">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54F9F" w14:textId="77777777" w:rsidR="00AF51F1" w:rsidRDefault="00711D3C">
            <w:pPr>
              <w:pStyle w:val="09-Bodytext"/>
              <w:rPr>
                <w:b/>
                <w:bCs/>
              </w:rPr>
            </w:pPr>
            <w:r>
              <w:rPr>
                <w:b/>
                <w:bCs/>
              </w:rPr>
              <w:t>Total Adjustments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C58A9" w14:textId="77777777" w:rsidR="00AF51F1" w:rsidRDefault="00711D3C">
            <w:pPr>
              <w:pStyle w:val="09-Bodytext"/>
              <w:jc w:val="right"/>
              <w:rPr>
                <w:b/>
                <w:bCs/>
              </w:rPr>
            </w:pPr>
            <w:r>
              <w:rPr>
                <w:b/>
                <w:bCs/>
              </w:rPr>
              <w:t>(3,483)</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21352" w14:textId="77777777" w:rsidR="00AF51F1" w:rsidRDefault="00711D3C">
            <w:pPr>
              <w:pStyle w:val="09-Bodytext"/>
              <w:jc w:val="right"/>
              <w:rPr>
                <w:b/>
                <w:bCs/>
              </w:rPr>
            </w:pPr>
            <w:r>
              <w:rPr>
                <w:b/>
                <w:bCs/>
              </w:rPr>
              <w:t>992</w:t>
            </w:r>
          </w:p>
        </w:tc>
      </w:tr>
      <w:tr w:rsidR="00AF51F1" w14:paraId="1B32C102" w14:textId="77777777">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83931" w14:textId="77777777" w:rsidR="00AF51F1" w:rsidRDefault="00711D3C">
            <w:pPr>
              <w:pStyle w:val="09-Bodytext"/>
            </w:pPr>
            <w:r>
              <w:t>Total Comprehensive Income and Expenditure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6D541" w14:textId="77777777" w:rsidR="00AF51F1" w:rsidRDefault="00711D3C">
            <w:pPr>
              <w:pStyle w:val="09-Bodytext"/>
              <w:jc w:val="right"/>
            </w:pPr>
            <w:r>
              <w:t>3,835</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01140" w14:textId="77777777" w:rsidR="00AF51F1" w:rsidRDefault="00711D3C">
            <w:pPr>
              <w:pStyle w:val="09-Bodytext"/>
              <w:jc w:val="right"/>
            </w:pPr>
            <w:r>
              <w:t>(812)</w:t>
            </w:r>
          </w:p>
        </w:tc>
      </w:tr>
      <w:tr w:rsidR="00AF51F1" w14:paraId="3CB6FAA1" w14:textId="77777777">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32DD7" w14:textId="77777777" w:rsidR="00AF51F1" w:rsidRDefault="00711D3C">
            <w:pPr>
              <w:pStyle w:val="09-Bodytext"/>
            </w:pPr>
            <w:r>
              <w:t>Net Increase / (Decrease) before transfers to / from Reserves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248DA" w14:textId="77777777" w:rsidR="00AF51F1" w:rsidRDefault="00711D3C">
            <w:pPr>
              <w:pStyle w:val="09-Bodytext"/>
              <w:jc w:val="right"/>
            </w:pPr>
            <w:r>
              <w:t>352</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1B26E" w14:textId="77777777" w:rsidR="00AF51F1" w:rsidRDefault="00711D3C">
            <w:pPr>
              <w:pStyle w:val="09-Bodytext"/>
              <w:jc w:val="right"/>
            </w:pPr>
            <w:r>
              <w:t>180</w:t>
            </w:r>
          </w:p>
        </w:tc>
      </w:tr>
      <w:tr w:rsidR="00AF51F1" w14:paraId="216C939A" w14:textId="77777777">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9D611" w14:textId="77777777" w:rsidR="00AF51F1" w:rsidRDefault="00711D3C">
            <w:pPr>
              <w:pStyle w:val="09-Bodytext"/>
              <w:rPr>
                <w:b/>
                <w:bCs/>
              </w:rPr>
            </w:pPr>
            <w:r>
              <w:rPr>
                <w:b/>
                <w:bCs/>
              </w:rPr>
              <w:t>Increase / (Decrease) in year</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63360" w14:textId="77777777" w:rsidR="00AF51F1" w:rsidRDefault="00711D3C">
            <w:pPr>
              <w:pStyle w:val="09-Bodytext"/>
              <w:jc w:val="right"/>
              <w:rPr>
                <w:b/>
                <w:bCs/>
              </w:rPr>
            </w:pPr>
            <w:r>
              <w:rPr>
                <w:b/>
                <w:bCs/>
              </w:rPr>
              <w:t>352</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DC49E" w14:textId="77777777" w:rsidR="00AF51F1" w:rsidRDefault="00711D3C">
            <w:pPr>
              <w:pStyle w:val="09-Bodytext"/>
              <w:jc w:val="right"/>
              <w:rPr>
                <w:b/>
                <w:bCs/>
              </w:rPr>
            </w:pPr>
            <w:r>
              <w:rPr>
                <w:b/>
                <w:bCs/>
              </w:rPr>
              <w:t>180</w:t>
            </w:r>
          </w:p>
        </w:tc>
      </w:tr>
    </w:tbl>
    <w:p w14:paraId="5D67493E" w14:textId="77777777" w:rsidR="00AF51F1" w:rsidRDefault="00AF51F1">
      <w:pPr>
        <w:pStyle w:val="09-Bodytext"/>
        <w:rPr>
          <w:shd w:val="clear" w:color="auto" w:fill="FFFF00"/>
        </w:rPr>
      </w:pPr>
    </w:p>
    <w:p w14:paraId="5E71C89B" w14:textId="77777777" w:rsidR="00AF51F1" w:rsidRDefault="00AF51F1">
      <w:pPr>
        <w:pStyle w:val="09-Bodytext"/>
        <w:rPr>
          <w:shd w:val="clear" w:color="auto" w:fill="FFFF00"/>
        </w:rPr>
      </w:pPr>
    </w:p>
    <w:p w14:paraId="4E29D087" w14:textId="77777777" w:rsidR="00AF51F1" w:rsidRPr="00CA2E48" w:rsidRDefault="00711D3C" w:rsidP="00CA2E48">
      <w:pPr>
        <w:pStyle w:val="Heading3"/>
        <w:ind w:left="851" w:hanging="851"/>
        <w:rPr>
          <w:rFonts w:ascii="Arial" w:eastAsia="Times New Roman" w:hAnsi="Arial" w:cs="Arial"/>
          <w:b/>
          <w:bCs/>
          <w:color w:val="auto"/>
          <w:sz w:val="22"/>
          <w:szCs w:val="22"/>
        </w:rPr>
      </w:pPr>
      <w:r w:rsidRPr="00CA2E48">
        <w:rPr>
          <w:rFonts w:ascii="Arial" w:eastAsia="Times New Roman" w:hAnsi="Arial" w:cs="Arial"/>
          <w:b/>
          <w:bCs/>
          <w:color w:val="auto"/>
          <w:sz w:val="22"/>
          <w:szCs w:val="22"/>
        </w:rPr>
        <w:t>Note 7:  Assumptions Made About the Future and Other Major Sources of Estimation       Uncertainty</w:t>
      </w:r>
    </w:p>
    <w:p w14:paraId="3531AC4D" w14:textId="77777777" w:rsidR="00AF51F1" w:rsidRDefault="00AF51F1">
      <w:pPr>
        <w:pStyle w:val="09-Bodytext"/>
      </w:pPr>
    </w:p>
    <w:p w14:paraId="4DABD6F8" w14:textId="77777777" w:rsidR="00AF51F1" w:rsidRDefault="00711D3C">
      <w:pPr>
        <w:pStyle w:val="09-Bodytext"/>
      </w:pPr>
      <w:r>
        <w:t xml:space="preserve">The Annual Accounts contain estimated figures that are based on assumptions made by the Board about the future or that are otherwise uncertain.  Estimates are made </w:t>
      </w:r>
      <w:proofErr w:type="gramStart"/>
      <w:r>
        <w:t>taking into account</w:t>
      </w:r>
      <w:proofErr w:type="gramEnd"/>
      <w:r>
        <w:t xml:space="preserve"> historical experience, current trends and other relevant factors. However, because balances cannot be determined with certainty, actual results could be materially different from the assumptions and estimates.</w:t>
      </w:r>
    </w:p>
    <w:p w14:paraId="5462CF7E" w14:textId="77777777" w:rsidR="00AF51F1" w:rsidRDefault="00AF51F1">
      <w:pPr>
        <w:pStyle w:val="09-Bodytext"/>
      </w:pPr>
    </w:p>
    <w:p w14:paraId="6DBF0816" w14:textId="77777777" w:rsidR="00AF51F1" w:rsidRDefault="00711D3C">
      <w:pPr>
        <w:pStyle w:val="09-Bodytext"/>
      </w:pPr>
      <w:r>
        <w:t xml:space="preserve">The items in the Board’s Balance Sheet </w:t>
      </w:r>
      <w:proofErr w:type="gramStart"/>
      <w:r>
        <w:t>at</w:t>
      </w:r>
      <w:proofErr w:type="gramEnd"/>
      <w:r>
        <w:t xml:space="preserve"> 31 March 2022 for which there is a significant risk of material adjustment in the forthcoming financial year are as follows:</w:t>
      </w:r>
    </w:p>
    <w:p w14:paraId="54A622BC" w14:textId="77777777" w:rsidR="00AF51F1" w:rsidRDefault="00AF51F1">
      <w:pPr>
        <w:pStyle w:val="09-Bodytext"/>
        <w:rPr>
          <w:shd w:val="clear" w:color="auto" w:fill="FFFF00"/>
        </w:rPr>
      </w:pPr>
    </w:p>
    <w:tbl>
      <w:tblPr>
        <w:tblW w:w="5343" w:type="pct"/>
        <w:tblCellMar>
          <w:left w:w="10" w:type="dxa"/>
          <w:right w:w="10" w:type="dxa"/>
        </w:tblCellMar>
        <w:tblLook w:val="0000" w:firstRow="0" w:lastRow="0" w:firstColumn="0" w:lastColumn="0" w:noHBand="0" w:noVBand="0"/>
      </w:tblPr>
      <w:tblGrid>
        <w:gridCol w:w="1202"/>
        <w:gridCol w:w="3605"/>
        <w:gridCol w:w="4827"/>
      </w:tblGrid>
      <w:tr w:rsidR="00AF51F1" w14:paraId="6879A4F2" w14:textId="77777777">
        <w:tc>
          <w:tcPr>
            <w:tcW w:w="1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F721F" w14:textId="77777777" w:rsidR="00AF51F1" w:rsidRDefault="00711D3C">
            <w:pPr>
              <w:pStyle w:val="09-Bodytext"/>
              <w:rPr>
                <w:b/>
                <w:bCs/>
              </w:rPr>
            </w:pPr>
            <w:r>
              <w:rPr>
                <w:b/>
                <w:bCs/>
              </w:rPr>
              <w:t>Items</w:t>
            </w:r>
          </w:p>
        </w:tc>
        <w:tc>
          <w:tcPr>
            <w:tcW w:w="3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9D15A" w14:textId="77777777" w:rsidR="00AF51F1" w:rsidRDefault="00711D3C">
            <w:pPr>
              <w:pStyle w:val="09-Bodytext"/>
              <w:rPr>
                <w:b/>
                <w:bCs/>
              </w:rPr>
            </w:pPr>
            <w:r>
              <w:rPr>
                <w:b/>
                <w:bCs/>
              </w:rPr>
              <w:t>Uncertainties</w:t>
            </w:r>
          </w:p>
        </w:tc>
        <w:tc>
          <w:tcPr>
            <w:tcW w:w="4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1251E" w14:textId="77777777" w:rsidR="00AF51F1" w:rsidRDefault="00711D3C">
            <w:pPr>
              <w:pStyle w:val="09-Bodytext"/>
              <w:rPr>
                <w:b/>
                <w:bCs/>
              </w:rPr>
            </w:pPr>
            <w:r>
              <w:rPr>
                <w:b/>
                <w:bCs/>
              </w:rPr>
              <w:t>Effect if Actual Results Differ from Assumptions</w:t>
            </w:r>
          </w:p>
        </w:tc>
      </w:tr>
      <w:tr w:rsidR="00AF51F1" w14:paraId="7BE6472C" w14:textId="77777777">
        <w:tc>
          <w:tcPr>
            <w:tcW w:w="1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9C8D5" w14:textId="77777777" w:rsidR="00AF51F1" w:rsidRDefault="00711D3C">
            <w:pPr>
              <w:pStyle w:val="09-Bodytext"/>
            </w:pPr>
            <w:r>
              <w:t xml:space="preserve">Pension </w:t>
            </w:r>
            <w:r w:rsidRPr="00157BD2">
              <w:t>Asset</w:t>
            </w:r>
          </w:p>
          <w:p w14:paraId="7B5A62F3" w14:textId="77777777" w:rsidR="00AF51F1" w:rsidRDefault="00AF51F1">
            <w:pPr>
              <w:pStyle w:val="09-Bodytext"/>
            </w:pPr>
          </w:p>
          <w:p w14:paraId="559300BB" w14:textId="77777777" w:rsidR="00AF51F1" w:rsidRDefault="00AF51F1">
            <w:pPr>
              <w:pStyle w:val="09-Bodytext"/>
            </w:pPr>
          </w:p>
          <w:p w14:paraId="038FFAE7" w14:textId="77777777" w:rsidR="00AF51F1" w:rsidRDefault="00AF51F1">
            <w:pPr>
              <w:pStyle w:val="09-Bodytext"/>
            </w:pPr>
          </w:p>
          <w:p w14:paraId="459911C9" w14:textId="77777777" w:rsidR="00AF51F1" w:rsidRDefault="00AF51F1">
            <w:pPr>
              <w:pStyle w:val="09-Bodytext"/>
            </w:pPr>
          </w:p>
          <w:p w14:paraId="1C4C29C2" w14:textId="77777777" w:rsidR="00AF51F1" w:rsidRDefault="00AF51F1">
            <w:pPr>
              <w:pStyle w:val="09-Bodytext"/>
            </w:pPr>
          </w:p>
          <w:p w14:paraId="30EAB3DF" w14:textId="77777777" w:rsidR="00AF51F1" w:rsidRDefault="00AF51F1">
            <w:pPr>
              <w:pStyle w:val="09-Bodytext"/>
            </w:pPr>
          </w:p>
          <w:p w14:paraId="370334EC" w14:textId="77777777" w:rsidR="00AF51F1" w:rsidRDefault="00AF51F1">
            <w:pPr>
              <w:pStyle w:val="09-Bodytext"/>
            </w:pPr>
          </w:p>
          <w:p w14:paraId="11122372" w14:textId="77777777" w:rsidR="00AF51F1" w:rsidRDefault="00AF51F1">
            <w:pPr>
              <w:pStyle w:val="09-Bodytext"/>
            </w:pPr>
          </w:p>
          <w:p w14:paraId="498882E9" w14:textId="77777777" w:rsidR="00AF51F1" w:rsidRDefault="00AF51F1">
            <w:pPr>
              <w:pStyle w:val="09-Bodytext"/>
            </w:pPr>
          </w:p>
          <w:p w14:paraId="15130C33" w14:textId="77777777" w:rsidR="00AF51F1" w:rsidRDefault="00AF51F1">
            <w:pPr>
              <w:pStyle w:val="09-Bodytext"/>
            </w:pPr>
          </w:p>
          <w:p w14:paraId="16C7B50E" w14:textId="77777777" w:rsidR="00AF51F1" w:rsidRDefault="00AF51F1">
            <w:pPr>
              <w:pStyle w:val="09-Bodytext"/>
            </w:pPr>
          </w:p>
          <w:p w14:paraId="06799A3A" w14:textId="77777777" w:rsidR="00AF51F1" w:rsidRDefault="00AF51F1">
            <w:pPr>
              <w:pStyle w:val="09-Bodytext"/>
            </w:pPr>
          </w:p>
          <w:p w14:paraId="021E6922" w14:textId="77777777" w:rsidR="00AF51F1" w:rsidRDefault="00AF51F1">
            <w:pPr>
              <w:pStyle w:val="09-Bodytext"/>
            </w:pPr>
          </w:p>
          <w:p w14:paraId="63B3EA75" w14:textId="77777777" w:rsidR="00AF51F1" w:rsidRDefault="00AF51F1">
            <w:pPr>
              <w:pStyle w:val="09-Bodytext"/>
            </w:pPr>
          </w:p>
        </w:tc>
        <w:tc>
          <w:tcPr>
            <w:tcW w:w="3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671B0" w14:textId="77777777" w:rsidR="00AF51F1" w:rsidRDefault="00711D3C">
            <w:pPr>
              <w:pStyle w:val="09-Bodytext"/>
            </w:pPr>
            <w:r>
              <w:t xml:space="preserve">Estimation of the net liability to pay pensions depends on </w:t>
            </w:r>
            <w:proofErr w:type="gramStart"/>
            <w:r>
              <w:t>a number of</w:t>
            </w:r>
            <w:proofErr w:type="gramEnd"/>
            <w:r>
              <w:t xml:space="preserve"> complex judgements relating to the discount rate used, the rate at which salaries are projected to increase, changes in retirement ages, mortality rates and expected returns on pension fund assets. A firm of consulting actuaries, commissioned by Strathclyde Pension Fund, is engaged to provide the Board with expert advice about the assumptions to be applied.</w:t>
            </w:r>
          </w:p>
          <w:p w14:paraId="2BB415A0" w14:textId="77777777" w:rsidR="00AF51F1" w:rsidRDefault="00AF51F1">
            <w:pPr>
              <w:pStyle w:val="09-Bodytext"/>
            </w:pPr>
          </w:p>
          <w:p w14:paraId="5BAAB1D8" w14:textId="77777777" w:rsidR="00AF51F1" w:rsidRDefault="00AF51F1">
            <w:pPr>
              <w:pStyle w:val="09-Bodytext"/>
            </w:pPr>
          </w:p>
          <w:p w14:paraId="3E759079" w14:textId="77777777" w:rsidR="00AF51F1" w:rsidRDefault="00AF51F1">
            <w:pPr>
              <w:pStyle w:val="09-Bodytext"/>
            </w:pPr>
          </w:p>
        </w:tc>
        <w:tc>
          <w:tcPr>
            <w:tcW w:w="4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4461A" w14:textId="77777777" w:rsidR="00AF51F1" w:rsidRDefault="00711D3C">
            <w:pPr>
              <w:pStyle w:val="09-Bodytext"/>
            </w:pPr>
            <w:r>
              <w:t>The effect on the net pension asset of changes in individual assumptions can be measured. For instance, a 0.1% decrease in the discount rate assumption would result in a decrease in the pension asset of £0.631m.</w:t>
            </w:r>
          </w:p>
          <w:p w14:paraId="53722C9C" w14:textId="77777777" w:rsidR="00AF51F1" w:rsidRDefault="00AF51F1">
            <w:pPr>
              <w:pStyle w:val="09-Bodytext"/>
              <w:rPr>
                <w:shd w:val="clear" w:color="auto" w:fill="FFFF00"/>
              </w:rPr>
            </w:pPr>
          </w:p>
          <w:p w14:paraId="5E263C5B" w14:textId="77777777" w:rsidR="00AF51F1" w:rsidRDefault="00711D3C">
            <w:pPr>
              <w:pStyle w:val="09-Bodytext"/>
            </w:pPr>
            <w:r>
              <w:t xml:space="preserve">However, the assumptions interact in complex ways. During 2021/2022, the actuaries advised that the net pension liability had increased by: £2.311m attributable to the updating of financial assumptions; increased by £0.197m attributable to changes in demographic assumptions; and decreased by £0.042m due to other experience. The net liability had increased by £1.732m due to the expected return on pension fund assets.  </w:t>
            </w:r>
          </w:p>
        </w:tc>
      </w:tr>
    </w:tbl>
    <w:p w14:paraId="4C455433" w14:textId="77777777" w:rsidR="00AF51F1" w:rsidRPr="00CA2E48" w:rsidRDefault="00711D3C" w:rsidP="00CA2E48">
      <w:pPr>
        <w:pStyle w:val="Heading3"/>
        <w:rPr>
          <w:rFonts w:ascii="Arial" w:eastAsia="Times New Roman" w:hAnsi="Arial" w:cs="Times New Roman"/>
          <w:b/>
          <w:bCs/>
          <w:color w:val="auto"/>
          <w:sz w:val="22"/>
          <w:szCs w:val="20"/>
        </w:rPr>
      </w:pPr>
      <w:r w:rsidRPr="00CA2E48">
        <w:rPr>
          <w:rFonts w:ascii="Arial" w:eastAsia="Times New Roman" w:hAnsi="Arial" w:cs="Times New Roman"/>
          <w:b/>
          <w:bCs/>
          <w:color w:val="auto"/>
          <w:sz w:val="22"/>
          <w:szCs w:val="20"/>
        </w:rPr>
        <w:lastRenderedPageBreak/>
        <w:t>Note 8:  Events after the Balance Sheet</w:t>
      </w:r>
    </w:p>
    <w:p w14:paraId="1ABC140D" w14:textId="77777777" w:rsidR="00AF51F1" w:rsidRDefault="00AF51F1">
      <w:pPr>
        <w:pStyle w:val="09-Bodytext"/>
        <w:rPr>
          <w:shd w:val="clear" w:color="auto" w:fill="FFFF00"/>
        </w:rPr>
      </w:pPr>
    </w:p>
    <w:p w14:paraId="3C5A034D" w14:textId="77777777" w:rsidR="00AF51F1" w:rsidRDefault="00711D3C">
      <w:pPr>
        <w:pStyle w:val="09-Bodytext"/>
      </w:pPr>
      <w:r>
        <w:t>The unaudited Annual Accounts were authorised for issue by the Treasurer of Lanarkshire Valuation Joint Board on 27 June 2022.  There were no events that occurred between 1 April 2022 and the date that the Annual Accounts were authorised for issue that would have an impact on the financial statements.</w:t>
      </w:r>
    </w:p>
    <w:p w14:paraId="643D6CE0" w14:textId="77777777" w:rsidR="00AF51F1" w:rsidRDefault="00AF51F1">
      <w:pPr>
        <w:pStyle w:val="09-Bodytext"/>
        <w:rPr>
          <w:shd w:val="clear" w:color="auto" w:fill="FFFF00"/>
        </w:rPr>
      </w:pPr>
    </w:p>
    <w:p w14:paraId="2386A74A" w14:textId="77777777" w:rsidR="00AF51F1" w:rsidRPr="00CA2E48" w:rsidRDefault="00711D3C" w:rsidP="00CA2E48">
      <w:pPr>
        <w:pStyle w:val="Heading3"/>
        <w:rPr>
          <w:rFonts w:ascii="Arial" w:eastAsia="Times New Roman" w:hAnsi="Arial" w:cs="Times New Roman"/>
          <w:b/>
          <w:bCs/>
          <w:iCs/>
          <w:color w:val="auto"/>
          <w:sz w:val="22"/>
          <w:szCs w:val="20"/>
        </w:rPr>
      </w:pPr>
      <w:r w:rsidRPr="00CA2E48">
        <w:rPr>
          <w:rFonts w:ascii="Arial" w:eastAsia="Times New Roman" w:hAnsi="Arial" w:cs="Times New Roman"/>
          <w:b/>
          <w:bCs/>
          <w:iCs/>
          <w:color w:val="auto"/>
          <w:sz w:val="22"/>
          <w:szCs w:val="20"/>
        </w:rPr>
        <w:t>Note 9:  Contingent Liabilities</w:t>
      </w:r>
    </w:p>
    <w:p w14:paraId="7FCC9A85" w14:textId="77777777" w:rsidR="00AF51F1" w:rsidRDefault="00AF51F1">
      <w:pPr>
        <w:pStyle w:val="09-Bodytext"/>
        <w:rPr>
          <w:b/>
          <w:bCs/>
        </w:rPr>
      </w:pPr>
    </w:p>
    <w:p w14:paraId="6750DBF2" w14:textId="77777777" w:rsidR="00AF51F1" w:rsidRDefault="00711D3C">
      <w:pPr>
        <w:pStyle w:val="09-Bodytext"/>
        <w:rPr>
          <w:b/>
        </w:rPr>
      </w:pPr>
      <w:r>
        <w:rPr>
          <w:b/>
        </w:rPr>
        <w:t>Pensions</w:t>
      </w:r>
    </w:p>
    <w:p w14:paraId="2412C807" w14:textId="77777777" w:rsidR="00AF51F1" w:rsidRDefault="00711D3C">
      <w:pPr>
        <w:pStyle w:val="09-Bodytext"/>
        <w:rPr>
          <w:iCs/>
        </w:rPr>
      </w:pPr>
      <w:r>
        <w:rPr>
          <w:iCs/>
        </w:rPr>
        <w:t xml:space="preserve">A circular from the Scottish Public Pensions Agency (Local Government Pension Scheme 2020/04) refers to a ruling that same-sex survivors were originally entitled to survivor benefits, </w:t>
      </w:r>
      <w:proofErr w:type="gramStart"/>
      <w:r>
        <w:rPr>
          <w:iCs/>
        </w:rPr>
        <w:t>taking into account</w:t>
      </w:r>
      <w:proofErr w:type="gramEnd"/>
      <w:r>
        <w:rPr>
          <w:iCs/>
        </w:rPr>
        <w:t xml:space="preserve"> the member’s service from 6 April 1978.  Following the Goodwin Tribunal, regulatory amendments will now need to be made with effect from the same date to extend that entitlement to male survivors of female members. While this could have a financial impact on future years’ costs, and the impact cannot yet be quantified, current information from the Board’s actuaries suggests that any impact is likely to be minimal.  Given the uncertainty, and the expected immaterial nature of any potential impact, no provision has been made in the Accounts.  </w:t>
      </w:r>
    </w:p>
    <w:p w14:paraId="7F908AB5" w14:textId="77777777" w:rsidR="00AF51F1" w:rsidRDefault="00AF51F1">
      <w:pPr>
        <w:pStyle w:val="09-Bodytext"/>
        <w:rPr>
          <w:iCs/>
        </w:rPr>
      </w:pPr>
    </w:p>
    <w:p w14:paraId="67263D9C" w14:textId="77777777" w:rsidR="00AF51F1" w:rsidRDefault="00711D3C">
      <w:pPr>
        <w:pStyle w:val="09-Bodytext"/>
      </w:pPr>
      <w:r>
        <w:rPr>
          <w:iCs/>
        </w:rPr>
        <w:t xml:space="preserve">The Board’s actuaries also highlighted an awareness of 2 other court cases which may impact on pension benefits in the future.  The first was the Walker case where it was ruled that surviving spouses in same sex marriages should be entitled to the same benefits as those in different sex marriages </w:t>
      </w:r>
      <w:proofErr w:type="gramStart"/>
      <w:r>
        <w:rPr>
          <w:iCs/>
        </w:rPr>
        <w:t>and also</w:t>
      </w:r>
      <w:proofErr w:type="gramEnd"/>
      <w:r>
        <w:rPr>
          <w:iCs/>
        </w:rPr>
        <w:t xml:space="preserve"> the O’Brien case where it was ruled that recognition of part time benefits should apply to service for the period prior to 7 April 2000. The actuaries understanding is that these are unlikely to be significant judgements in terms of impact on future pension obligations of Employers.  Again, given the uncertainty, and the immaterial nature of any potential impact, no provision has been made in the Accounts</w:t>
      </w:r>
      <w:r>
        <w:rPr>
          <w:i/>
          <w:iCs/>
        </w:rPr>
        <w:t>.</w:t>
      </w:r>
    </w:p>
    <w:p w14:paraId="41166D40" w14:textId="77777777" w:rsidR="00AF51F1" w:rsidRDefault="00AF51F1">
      <w:pPr>
        <w:pStyle w:val="09-Bodytext"/>
        <w:rPr>
          <w:color w:val="FF0000"/>
        </w:rPr>
      </w:pPr>
    </w:p>
    <w:p w14:paraId="146A1974" w14:textId="77777777" w:rsidR="00AF51F1" w:rsidRDefault="00711D3C">
      <w:pPr>
        <w:pStyle w:val="09-Bodytext"/>
        <w:rPr>
          <w:b/>
        </w:rPr>
      </w:pPr>
      <w:r>
        <w:rPr>
          <w:b/>
        </w:rPr>
        <w:t>Valuation Appeals</w:t>
      </w:r>
    </w:p>
    <w:p w14:paraId="455F2B84" w14:textId="77777777" w:rsidR="00AF51F1" w:rsidRDefault="00711D3C">
      <w:pPr>
        <w:pStyle w:val="09-Bodytext"/>
      </w:pPr>
      <w:r>
        <w:t xml:space="preserve">Number of Appeals:  Voluminous numbers of appeals have been received in connection with the pandemic with the possibility of additional expenditure in legal costs </w:t>
      </w:r>
      <w:proofErr w:type="gramStart"/>
      <w:r>
        <w:t>as a consequence of</w:t>
      </w:r>
      <w:proofErr w:type="gramEnd"/>
      <w:r>
        <w:t xml:space="preserve"> these appeals. However, neither the value nor the timing of these costs can be reliably estimated at this time as legislation drafted by the Scottish Government to assist in dealing with such appeals has yet to be implemented.  Accordingly, the Board recognises that a contingent liability may exist in respect of potential costs arising from these appeals.</w:t>
      </w:r>
    </w:p>
    <w:p w14:paraId="6F153F84" w14:textId="77777777" w:rsidR="00AF51F1" w:rsidRDefault="00AF51F1">
      <w:pPr>
        <w:pStyle w:val="09-Bodytext"/>
        <w:rPr>
          <w:shd w:val="clear" w:color="auto" w:fill="FFFF00"/>
        </w:rPr>
      </w:pPr>
    </w:p>
    <w:p w14:paraId="1D329F9E" w14:textId="77777777" w:rsidR="00AF51F1" w:rsidRDefault="00711D3C">
      <w:pPr>
        <w:pStyle w:val="09-Bodytext"/>
      </w:pPr>
      <w:r>
        <w:t xml:space="preserve">Transfer of the Valuation Appeals Process:  The transfer of Valuation Appeal Panel (VAP) activities to the Scottish Courts and Tribunal Service is due to take place on 1 January 2023.  This will have no financial impact on the Board as it is expected that VAP costs will be removed from the councils’ settlements and therefore from the income that the Board receives from the councils.    </w:t>
      </w:r>
    </w:p>
    <w:p w14:paraId="3A224332" w14:textId="77777777" w:rsidR="00AF51F1" w:rsidRDefault="00AF51F1">
      <w:pPr>
        <w:pStyle w:val="09-Bodytext"/>
        <w:rPr>
          <w:shd w:val="clear" w:color="auto" w:fill="FFFF00"/>
        </w:rPr>
      </w:pPr>
    </w:p>
    <w:p w14:paraId="4F78A3FD" w14:textId="77777777" w:rsidR="00AF51F1" w:rsidRPr="00CA2E48" w:rsidRDefault="00711D3C" w:rsidP="00CA2E48">
      <w:pPr>
        <w:pStyle w:val="Heading3"/>
        <w:rPr>
          <w:rFonts w:ascii="Arial" w:eastAsia="Times New Roman" w:hAnsi="Arial" w:cs="Times New Roman"/>
          <w:b/>
          <w:bCs/>
          <w:color w:val="231F20"/>
          <w:sz w:val="22"/>
          <w:szCs w:val="20"/>
        </w:rPr>
      </w:pPr>
      <w:r w:rsidRPr="00CA2E48">
        <w:rPr>
          <w:rFonts w:ascii="Arial" w:eastAsia="Times New Roman" w:hAnsi="Arial" w:cs="Times New Roman"/>
          <w:b/>
          <w:bCs/>
          <w:color w:val="231F20"/>
          <w:sz w:val="22"/>
          <w:szCs w:val="20"/>
        </w:rPr>
        <w:t>Note 10:  Leases</w:t>
      </w:r>
    </w:p>
    <w:p w14:paraId="6237FE0B" w14:textId="77777777" w:rsidR="00AF51F1" w:rsidRDefault="00AF51F1">
      <w:pPr>
        <w:pStyle w:val="09-Bodytext"/>
      </w:pPr>
    </w:p>
    <w:p w14:paraId="1919E3BC" w14:textId="77777777" w:rsidR="00AF51F1" w:rsidRDefault="00711D3C">
      <w:pPr>
        <w:pStyle w:val="09-Bodytext"/>
      </w:pPr>
      <w:r>
        <w:t xml:space="preserve">Operating Leases – LVJB as Lessee:  </w:t>
      </w:r>
      <w:r>
        <w:rPr>
          <w:color w:val="231F20"/>
        </w:rPr>
        <w:t xml:space="preserve">The Board has </w:t>
      </w:r>
      <w:proofErr w:type="gramStart"/>
      <w:r>
        <w:rPr>
          <w:color w:val="231F20"/>
        </w:rPr>
        <w:t>entered into</w:t>
      </w:r>
      <w:proofErr w:type="gramEnd"/>
      <w:r>
        <w:rPr>
          <w:color w:val="231F20"/>
        </w:rPr>
        <w:t xml:space="preserve"> an operating lease and details are provided across the asset category of Property, Plant and Equipment, and Land and Buildings.</w:t>
      </w:r>
    </w:p>
    <w:p w14:paraId="114260D1" w14:textId="77777777" w:rsidR="00AF51F1" w:rsidRDefault="00AF51F1">
      <w:pPr>
        <w:pStyle w:val="09-Bodytext"/>
        <w:rPr>
          <w:color w:val="231F20"/>
        </w:rPr>
      </w:pPr>
    </w:p>
    <w:p w14:paraId="3A88EA46" w14:textId="77777777" w:rsidR="00AF51F1" w:rsidRDefault="00711D3C">
      <w:pPr>
        <w:pStyle w:val="09-Bodytext"/>
      </w:pPr>
      <w:r>
        <w:t xml:space="preserve">Land and Buildings – the Board leases their offices which have been accounted for as an operating lease.  The rental payable in 2021/2022 was £0.093m (2020/2021 £0 due to the lease commencing on 1 April 2021).  </w:t>
      </w:r>
      <w:r w:rsidRPr="00157BD2">
        <w:t>The rent payable will increase in August 2025</w:t>
      </w:r>
      <w:r>
        <w:t>.</w:t>
      </w:r>
    </w:p>
    <w:p w14:paraId="319049AF" w14:textId="77777777" w:rsidR="00AF51F1" w:rsidRDefault="00AF51F1">
      <w:pPr>
        <w:pStyle w:val="09-Bodytext"/>
        <w:pageBreakBefore/>
      </w:pPr>
    </w:p>
    <w:p w14:paraId="076798A4" w14:textId="77777777" w:rsidR="00AF51F1" w:rsidRDefault="00711D3C">
      <w:pPr>
        <w:pStyle w:val="09-Bodytext"/>
      </w:pPr>
      <w:r>
        <w:t>The future minimum lease payments due under non-cancellable leases in future years are:</w:t>
      </w:r>
    </w:p>
    <w:p w14:paraId="359AB7C6" w14:textId="77777777" w:rsidR="00AF51F1" w:rsidRDefault="00AF51F1">
      <w:pPr>
        <w:pStyle w:val="09-Bodytext"/>
      </w:pPr>
    </w:p>
    <w:tbl>
      <w:tblPr>
        <w:tblW w:w="5000" w:type="pct"/>
        <w:tblCellMar>
          <w:left w:w="10" w:type="dxa"/>
          <w:right w:w="10" w:type="dxa"/>
        </w:tblCellMar>
        <w:tblLook w:val="0000" w:firstRow="0" w:lastRow="0" w:firstColumn="0" w:lastColumn="0" w:noHBand="0" w:noVBand="0"/>
      </w:tblPr>
      <w:tblGrid>
        <w:gridCol w:w="6232"/>
        <w:gridCol w:w="1417"/>
        <w:gridCol w:w="1367"/>
      </w:tblGrid>
      <w:tr w:rsidR="00AF51F1" w14:paraId="29174B10" w14:textId="77777777">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8F648" w14:textId="77777777" w:rsidR="00AF51F1" w:rsidRDefault="00AF51F1">
            <w:pPr>
              <w:pStyle w:val="09-Bodytext"/>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CE959" w14:textId="77777777" w:rsidR="00AF51F1" w:rsidRDefault="00711D3C">
            <w:pPr>
              <w:pStyle w:val="09-Bodytext"/>
              <w:jc w:val="right"/>
              <w:rPr>
                <w:b/>
                <w:bCs/>
              </w:rPr>
            </w:pPr>
            <w:r>
              <w:rPr>
                <w:b/>
                <w:bCs/>
              </w:rPr>
              <w:t>2021/22</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0AFDC" w14:textId="77777777" w:rsidR="00AF51F1" w:rsidRDefault="00711D3C">
            <w:pPr>
              <w:pStyle w:val="09-Bodytext"/>
              <w:jc w:val="right"/>
              <w:rPr>
                <w:b/>
                <w:bCs/>
              </w:rPr>
            </w:pPr>
            <w:r>
              <w:rPr>
                <w:b/>
                <w:bCs/>
              </w:rPr>
              <w:t>2020/21</w:t>
            </w:r>
          </w:p>
        </w:tc>
      </w:tr>
      <w:tr w:rsidR="00AF51F1" w14:paraId="765D3712" w14:textId="77777777">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76ADE" w14:textId="77777777" w:rsidR="00AF51F1" w:rsidRDefault="00AF51F1">
            <w:pPr>
              <w:pStyle w:val="09-Bodytext"/>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BC07C" w14:textId="77777777" w:rsidR="00AF51F1" w:rsidRDefault="00711D3C">
            <w:pPr>
              <w:pStyle w:val="09-Bodytext"/>
              <w:jc w:val="right"/>
              <w:rPr>
                <w:b/>
                <w:bCs/>
              </w:rPr>
            </w:pPr>
            <w:r>
              <w:rPr>
                <w:b/>
                <w:bCs/>
              </w:rPr>
              <w:t>£000</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41603" w14:textId="77777777" w:rsidR="00AF51F1" w:rsidRDefault="00711D3C">
            <w:pPr>
              <w:pStyle w:val="09-Bodytext"/>
              <w:jc w:val="right"/>
              <w:rPr>
                <w:b/>
                <w:bCs/>
              </w:rPr>
            </w:pPr>
            <w:r>
              <w:rPr>
                <w:b/>
                <w:bCs/>
              </w:rPr>
              <w:t>£000</w:t>
            </w:r>
          </w:p>
        </w:tc>
      </w:tr>
      <w:tr w:rsidR="00AF51F1" w14:paraId="022E95FC" w14:textId="77777777">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6A067" w14:textId="77777777" w:rsidR="00AF51F1" w:rsidRDefault="00711D3C">
            <w:pPr>
              <w:pStyle w:val="09-Bodytext"/>
            </w:pPr>
            <w:r>
              <w:t>Not later than one year</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47ACB" w14:textId="77777777" w:rsidR="00AF51F1" w:rsidRDefault="00711D3C">
            <w:pPr>
              <w:pStyle w:val="09-Bodytext"/>
              <w:jc w:val="right"/>
            </w:pPr>
            <w:r>
              <w:t>93</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77C77" w14:textId="77777777" w:rsidR="00AF51F1" w:rsidRDefault="00711D3C">
            <w:pPr>
              <w:pStyle w:val="09-Bodytext"/>
              <w:jc w:val="right"/>
            </w:pPr>
            <w:r>
              <w:t>93</w:t>
            </w:r>
          </w:p>
        </w:tc>
      </w:tr>
      <w:tr w:rsidR="00AF51F1" w14:paraId="03714F0B" w14:textId="77777777">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C933A" w14:textId="77777777" w:rsidR="00AF51F1" w:rsidRDefault="00711D3C">
            <w:pPr>
              <w:pStyle w:val="09-Bodytext"/>
            </w:pPr>
            <w:r>
              <w:t>Later than one year and not later than five years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8F822" w14:textId="77777777" w:rsidR="00AF51F1" w:rsidRDefault="00711D3C">
            <w:pPr>
              <w:pStyle w:val="09-Bodytext"/>
              <w:jc w:val="right"/>
            </w:pPr>
            <w:r>
              <w:t>387</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3F597" w14:textId="77777777" w:rsidR="00AF51F1" w:rsidRDefault="00711D3C">
            <w:pPr>
              <w:pStyle w:val="09-Bodytext"/>
              <w:jc w:val="right"/>
              <w:rPr>
                <w:bCs/>
              </w:rPr>
            </w:pPr>
            <w:r>
              <w:rPr>
                <w:bCs/>
              </w:rPr>
              <w:t>377</w:t>
            </w:r>
          </w:p>
        </w:tc>
      </w:tr>
      <w:tr w:rsidR="00AF51F1" w14:paraId="29898119" w14:textId="77777777">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1FA6A" w14:textId="77777777" w:rsidR="00AF51F1" w:rsidRDefault="00711D3C">
            <w:pPr>
              <w:pStyle w:val="09-Bodytext"/>
            </w:pPr>
            <w:r>
              <w:t>Later than five years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08ECC" w14:textId="77777777" w:rsidR="00AF51F1" w:rsidRDefault="00711D3C">
            <w:pPr>
              <w:pStyle w:val="09-Bodytext"/>
              <w:jc w:val="right"/>
            </w:pPr>
            <w:r>
              <w:t>343</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2FD3B" w14:textId="77777777" w:rsidR="00AF51F1" w:rsidRDefault="00711D3C">
            <w:pPr>
              <w:pStyle w:val="09-Bodytext"/>
              <w:jc w:val="right"/>
              <w:rPr>
                <w:bCs/>
              </w:rPr>
            </w:pPr>
            <w:r>
              <w:rPr>
                <w:bCs/>
              </w:rPr>
              <w:t>444</w:t>
            </w:r>
          </w:p>
        </w:tc>
      </w:tr>
      <w:tr w:rsidR="00AF51F1" w14:paraId="2F62BFDD" w14:textId="77777777">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A6C8F" w14:textId="77777777" w:rsidR="00AF51F1" w:rsidRDefault="00711D3C">
            <w:pPr>
              <w:pStyle w:val="09-Bodytext"/>
              <w:rPr>
                <w:b/>
                <w:bCs/>
              </w:rPr>
            </w:pPr>
            <w:r>
              <w:rPr>
                <w:b/>
                <w:bCs/>
              </w:rPr>
              <w:t>Total</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36092" w14:textId="77777777" w:rsidR="00AF51F1" w:rsidRPr="00157BD2" w:rsidRDefault="00711D3C">
            <w:pPr>
              <w:pStyle w:val="09-Bodytext"/>
              <w:jc w:val="right"/>
              <w:rPr>
                <w:b/>
                <w:bCs/>
              </w:rPr>
            </w:pPr>
            <w:r w:rsidRPr="00157BD2">
              <w:rPr>
                <w:b/>
                <w:bCs/>
              </w:rPr>
              <w:t>823</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CAAD7" w14:textId="77777777" w:rsidR="00AF51F1" w:rsidRDefault="00711D3C">
            <w:pPr>
              <w:pStyle w:val="09-Bodytext"/>
              <w:jc w:val="right"/>
              <w:rPr>
                <w:b/>
                <w:bCs/>
              </w:rPr>
            </w:pPr>
            <w:r>
              <w:rPr>
                <w:b/>
                <w:bCs/>
              </w:rPr>
              <w:t>914</w:t>
            </w:r>
          </w:p>
        </w:tc>
      </w:tr>
    </w:tbl>
    <w:p w14:paraId="7A675F3E" w14:textId="77777777" w:rsidR="00AF51F1" w:rsidRDefault="00AF51F1">
      <w:pPr>
        <w:pStyle w:val="09-Bodytext"/>
        <w:rPr>
          <w:shd w:val="clear" w:color="auto" w:fill="FFFF00"/>
        </w:rPr>
      </w:pPr>
    </w:p>
    <w:p w14:paraId="6ABDC52F" w14:textId="77777777" w:rsidR="00AF51F1" w:rsidRPr="00CA2E48" w:rsidRDefault="00711D3C" w:rsidP="00CA2E48">
      <w:pPr>
        <w:pStyle w:val="Heading3"/>
        <w:rPr>
          <w:rFonts w:ascii="Arial" w:eastAsia="Times New Roman" w:hAnsi="Arial" w:cs="Times New Roman"/>
          <w:b/>
          <w:bCs/>
          <w:color w:val="auto"/>
          <w:sz w:val="22"/>
          <w:szCs w:val="20"/>
        </w:rPr>
      </w:pPr>
      <w:r w:rsidRPr="00CA2E48">
        <w:rPr>
          <w:rFonts w:ascii="Arial" w:eastAsia="Times New Roman" w:hAnsi="Arial" w:cs="Times New Roman"/>
          <w:b/>
          <w:bCs/>
          <w:color w:val="auto"/>
          <w:sz w:val="22"/>
          <w:szCs w:val="20"/>
        </w:rPr>
        <w:t>Note 11:  Property, Plant and Equipment</w:t>
      </w:r>
    </w:p>
    <w:p w14:paraId="0D427910" w14:textId="77777777" w:rsidR="00AF51F1" w:rsidRDefault="00AF51F1" w:rsidP="00157BD2">
      <w:pPr>
        <w:pStyle w:val="09-Bodytext"/>
        <w:jc w:val="right"/>
        <w:rPr>
          <w:shd w:val="clear" w:color="auto" w:fill="FFFF00"/>
        </w:rPr>
      </w:pPr>
    </w:p>
    <w:tbl>
      <w:tblPr>
        <w:tblW w:w="5000" w:type="pct"/>
        <w:tblCellMar>
          <w:left w:w="10" w:type="dxa"/>
          <w:right w:w="10" w:type="dxa"/>
        </w:tblCellMar>
        <w:tblLook w:val="0000" w:firstRow="0" w:lastRow="0" w:firstColumn="0" w:lastColumn="0" w:noHBand="0" w:noVBand="0"/>
      </w:tblPr>
      <w:tblGrid>
        <w:gridCol w:w="6232"/>
        <w:gridCol w:w="1417"/>
        <w:gridCol w:w="1367"/>
      </w:tblGrid>
      <w:tr w:rsidR="00AF51F1" w14:paraId="69AB0E62" w14:textId="77777777">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B1E3F" w14:textId="77777777" w:rsidR="00AF51F1" w:rsidRDefault="00AF51F1">
            <w:pPr>
              <w:pStyle w:val="09-Bodytext"/>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44301" w14:textId="77777777" w:rsidR="00AF51F1" w:rsidRDefault="00711D3C">
            <w:pPr>
              <w:pStyle w:val="09-Bodytext"/>
              <w:jc w:val="right"/>
              <w:rPr>
                <w:b/>
                <w:bCs/>
              </w:rPr>
            </w:pPr>
            <w:r>
              <w:rPr>
                <w:b/>
                <w:bCs/>
              </w:rPr>
              <w:t>2021/22</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B81B0" w14:textId="77777777" w:rsidR="00AF51F1" w:rsidRDefault="00711D3C">
            <w:pPr>
              <w:pStyle w:val="09-Bodytext"/>
              <w:jc w:val="right"/>
              <w:rPr>
                <w:b/>
                <w:bCs/>
              </w:rPr>
            </w:pPr>
            <w:r>
              <w:rPr>
                <w:b/>
                <w:bCs/>
              </w:rPr>
              <w:t>2020/21</w:t>
            </w:r>
          </w:p>
        </w:tc>
      </w:tr>
      <w:tr w:rsidR="00AF51F1" w14:paraId="392DBED6" w14:textId="77777777">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3B073" w14:textId="77777777" w:rsidR="00AF51F1" w:rsidRDefault="00AF51F1">
            <w:pPr>
              <w:pStyle w:val="09-Bodytext"/>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5065E" w14:textId="77777777" w:rsidR="00AF51F1" w:rsidRDefault="00711D3C">
            <w:pPr>
              <w:pStyle w:val="09-Bodytext"/>
              <w:jc w:val="right"/>
              <w:rPr>
                <w:b/>
                <w:bCs/>
              </w:rPr>
            </w:pPr>
            <w:r>
              <w:rPr>
                <w:b/>
                <w:bCs/>
              </w:rPr>
              <w:t>£000</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20EC7" w14:textId="77777777" w:rsidR="00AF51F1" w:rsidRDefault="00711D3C">
            <w:pPr>
              <w:pStyle w:val="09-Bodytext"/>
              <w:jc w:val="right"/>
              <w:rPr>
                <w:b/>
                <w:bCs/>
              </w:rPr>
            </w:pPr>
            <w:r>
              <w:rPr>
                <w:b/>
                <w:bCs/>
              </w:rPr>
              <w:t>£000</w:t>
            </w:r>
          </w:p>
        </w:tc>
      </w:tr>
      <w:tr w:rsidR="00AF51F1" w14:paraId="19667639" w14:textId="77777777">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EE9B7" w14:textId="77777777" w:rsidR="00AF51F1" w:rsidRDefault="00711D3C">
            <w:pPr>
              <w:pStyle w:val="09-Bodytext"/>
              <w:rPr>
                <w:b/>
                <w:bCs/>
              </w:rPr>
            </w:pPr>
            <w:r>
              <w:rPr>
                <w:b/>
                <w:bCs/>
              </w:rPr>
              <w:t>Cost or Valuation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8E062" w14:textId="77777777" w:rsidR="00AF51F1" w:rsidRDefault="00AF51F1">
            <w:pPr>
              <w:pStyle w:val="09-Bodytext"/>
              <w:jc w:val="right"/>
            </w:pP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4CD58" w14:textId="77777777" w:rsidR="00AF51F1" w:rsidRDefault="00AF51F1">
            <w:pPr>
              <w:pStyle w:val="09-Bodytext"/>
              <w:jc w:val="right"/>
            </w:pPr>
          </w:p>
        </w:tc>
      </w:tr>
      <w:tr w:rsidR="00AF51F1" w14:paraId="6B790CB3" w14:textId="77777777">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2269A" w14:textId="77777777" w:rsidR="00AF51F1" w:rsidRDefault="00711D3C">
            <w:pPr>
              <w:pStyle w:val="09-Bodytext"/>
            </w:pPr>
            <w:proofErr w:type="gramStart"/>
            <w:r>
              <w:t>At</w:t>
            </w:r>
            <w:proofErr w:type="gramEnd"/>
            <w:r>
              <w:t xml:space="preserve"> 1 April</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F96C5" w14:textId="77777777" w:rsidR="00AF51F1" w:rsidRDefault="00711D3C">
            <w:pPr>
              <w:pStyle w:val="09-Bodytext"/>
              <w:jc w:val="right"/>
            </w:pPr>
            <w:r>
              <w:t>181</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7DF94" w14:textId="77777777" w:rsidR="00AF51F1" w:rsidRDefault="00711D3C">
            <w:pPr>
              <w:pStyle w:val="09-Bodytext"/>
              <w:jc w:val="right"/>
            </w:pPr>
            <w:r>
              <w:t>0</w:t>
            </w:r>
          </w:p>
        </w:tc>
      </w:tr>
      <w:tr w:rsidR="00AF51F1" w14:paraId="506EB65A" w14:textId="77777777">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92A5D" w14:textId="77777777" w:rsidR="00AF51F1" w:rsidRDefault="00711D3C">
            <w:pPr>
              <w:pStyle w:val="09-Bodytext"/>
            </w:pPr>
            <w:r>
              <w:t>Additions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AE4AA" w14:textId="77777777" w:rsidR="00AF51F1" w:rsidRDefault="00711D3C">
            <w:pPr>
              <w:pStyle w:val="09-Bodytext"/>
              <w:jc w:val="right"/>
            </w:pPr>
            <w:r>
              <w:t>0</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30E0B" w14:textId="77777777" w:rsidR="00AF51F1" w:rsidRDefault="00711D3C">
            <w:pPr>
              <w:pStyle w:val="09-Bodytext"/>
              <w:jc w:val="right"/>
            </w:pPr>
            <w:r>
              <w:t>181</w:t>
            </w:r>
          </w:p>
        </w:tc>
      </w:tr>
      <w:tr w:rsidR="00AF51F1" w14:paraId="3B52DA8E" w14:textId="77777777">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68C49" w14:textId="77777777" w:rsidR="00AF51F1" w:rsidRDefault="00711D3C">
            <w:pPr>
              <w:pStyle w:val="09-Bodytext"/>
              <w:rPr>
                <w:b/>
                <w:bCs/>
              </w:rPr>
            </w:pPr>
            <w:proofErr w:type="gramStart"/>
            <w:r>
              <w:rPr>
                <w:b/>
                <w:bCs/>
              </w:rPr>
              <w:t>At</w:t>
            </w:r>
            <w:proofErr w:type="gramEnd"/>
            <w:r>
              <w:rPr>
                <w:b/>
                <w:bCs/>
              </w:rPr>
              <w:t xml:space="preserve"> 31 March</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0B473" w14:textId="77777777" w:rsidR="00AF51F1" w:rsidRDefault="00711D3C">
            <w:pPr>
              <w:pStyle w:val="09-Bodytext"/>
              <w:jc w:val="right"/>
              <w:rPr>
                <w:b/>
                <w:bCs/>
              </w:rPr>
            </w:pPr>
            <w:r>
              <w:rPr>
                <w:b/>
                <w:bCs/>
              </w:rPr>
              <w:t>181</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750C7" w14:textId="77777777" w:rsidR="00AF51F1" w:rsidRDefault="00711D3C">
            <w:pPr>
              <w:pStyle w:val="09-Bodytext"/>
              <w:jc w:val="right"/>
              <w:rPr>
                <w:b/>
                <w:bCs/>
              </w:rPr>
            </w:pPr>
            <w:r>
              <w:rPr>
                <w:b/>
                <w:bCs/>
              </w:rPr>
              <w:t>181</w:t>
            </w:r>
          </w:p>
        </w:tc>
      </w:tr>
      <w:tr w:rsidR="00AF51F1" w14:paraId="24337479" w14:textId="77777777">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74197" w14:textId="77777777" w:rsidR="00AF51F1" w:rsidRDefault="00AF51F1">
            <w:pPr>
              <w:pStyle w:val="09-Bodytext"/>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C2D0C" w14:textId="77777777" w:rsidR="00AF51F1" w:rsidRDefault="00AF51F1">
            <w:pPr>
              <w:pStyle w:val="09-Bodytext"/>
              <w:jc w:val="right"/>
            </w:pP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9147A" w14:textId="77777777" w:rsidR="00AF51F1" w:rsidRDefault="00AF51F1">
            <w:pPr>
              <w:pStyle w:val="09-Bodytext"/>
              <w:jc w:val="right"/>
            </w:pPr>
          </w:p>
        </w:tc>
      </w:tr>
      <w:tr w:rsidR="00AF51F1" w14:paraId="069E850F" w14:textId="77777777">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80C03" w14:textId="77777777" w:rsidR="00AF51F1" w:rsidRDefault="00711D3C">
            <w:pPr>
              <w:pStyle w:val="09-Bodytext"/>
              <w:rPr>
                <w:b/>
                <w:bCs/>
              </w:rPr>
            </w:pPr>
            <w:r>
              <w:rPr>
                <w:b/>
                <w:bCs/>
              </w:rPr>
              <w:t>Accumulated Depreciation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1C8ED" w14:textId="77777777" w:rsidR="00AF51F1" w:rsidRDefault="00AF51F1">
            <w:pPr>
              <w:pStyle w:val="09-Bodytext"/>
              <w:jc w:val="right"/>
            </w:pP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5ECEA" w14:textId="77777777" w:rsidR="00AF51F1" w:rsidRDefault="00AF51F1">
            <w:pPr>
              <w:pStyle w:val="09-Bodytext"/>
              <w:jc w:val="right"/>
            </w:pPr>
          </w:p>
        </w:tc>
      </w:tr>
      <w:tr w:rsidR="00AF51F1" w14:paraId="09828092" w14:textId="77777777">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34A56" w14:textId="77777777" w:rsidR="00AF51F1" w:rsidRDefault="00711D3C">
            <w:pPr>
              <w:pStyle w:val="09-Bodytext"/>
            </w:pPr>
            <w:proofErr w:type="gramStart"/>
            <w:r>
              <w:t>At</w:t>
            </w:r>
            <w:proofErr w:type="gramEnd"/>
            <w:r>
              <w:t xml:space="preserve"> 1 April</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771B7" w14:textId="77777777" w:rsidR="00AF51F1" w:rsidRDefault="00711D3C">
            <w:pPr>
              <w:pStyle w:val="09-Bodytext"/>
              <w:jc w:val="right"/>
            </w:pPr>
            <w:r>
              <w:t>4</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2389B" w14:textId="77777777" w:rsidR="00AF51F1" w:rsidRDefault="00711D3C">
            <w:pPr>
              <w:pStyle w:val="09-Bodytext"/>
              <w:jc w:val="right"/>
            </w:pPr>
            <w:r>
              <w:t>0</w:t>
            </w:r>
          </w:p>
        </w:tc>
      </w:tr>
      <w:tr w:rsidR="00AF51F1" w14:paraId="51A3DB8B" w14:textId="77777777">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B0C32" w14:textId="77777777" w:rsidR="00AF51F1" w:rsidRDefault="00711D3C">
            <w:pPr>
              <w:pStyle w:val="09-Bodytext"/>
            </w:pPr>
            <w:r>
              <w:t>Depreciation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FCBFA" w14:textId="77777777" w:rsidR="00AF51F1" w:rsidRDefault="00711D3C">
            <w:pPr>
              <w:pStyle w:val="09-Bodytext"/>
              <w:jc w:val="right"/>
            </w:pPr>
            <w:r>
              <w:t>21</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132B9" w14:textId="77777777" w:rsidR="00AF51F1" w:rsidRDefault="00711D3C">
            <w:pPr>
              <w:pStyle w:val="09-Bodytext"/>
              <w:jc w:val="right"/>
            </w:pPr>
            <w:r>
              <w:t>4</w:t>
            </w:r>
          </w:p>
        </w:tc>
      </w:tr>
      <w:tr w:rsidR="00AF51F1" w14:paraId="558607FB" w14:textId="77777777">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A3266" w14:textId="77777777" w:rsidR="00AF51F1" w:rsidRDefault="00711D3C">
            <w:pPr>
              <w:pStyle w:val="09-Bodytext"/>
              <w:rPr>
                <w:b/>
                <w:bCs/>
              </w:rPr>
            </w:pPr>
            <w:proofErr w:type="gramStart"/>
            <w:r>
              <w:rPr>
                <w:b/>
                <w:bCs/>
              </w:rPr>
              <w:t>At</w:t>
            </w:r>
            <w:proofErr w:type="gramEnd"/>
            <w:r>
              <w:rPr>
                <w:b/>
                <w:bCs/>
              </w:rPr>
              <w:t xml:space="preserve"> 31 March</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C30CB" w14:textId="77777777" w:rsidR="00AF51F1" w:rsidRDefault="00711D3C">
            <w:pPr>
              <w:pStyle w:val="09-Bodytext"/>
              <w:jc w:val="right"/>
              <w:rPr>
                <w:b/>
                <w:bCs/>
              </w:rPr>
            </w:pPr>
            <w:r>
              <w:rPr>
                <w:b/>
                <w:bCs/>
              </w:rPr>
              <w:t>25</w:t>
            </w:r>
          </w:p>
          <w:p w14:paraId="7948CF5B" w14:textId="77777777" w:rsidR="00AF51F1" w:rsidRDefault="00AF51F1">
            <w:pPr>
              <w:pStyle w:val="09-Bodytext"/>
              <w:jc w:val="right"/>
              <w:rPr>
                <w:b/>
                <w:bCs/>
              </w:rPr>
            </w:pP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7E0BF" w14:textId="77777777" w:rsidR="00AF51F1" w:rsidRDefault="00711D3C">
            <w:pPr>
              <w:pStyle w:val="09-Bodytext"/>
              <w:jc w:val="right"/>
              <w:rPr>
                <w:b/>
                <w:bCs/>
              </w:rPr>
            </w:pPr>
            <w:r>
              <w:rPr>
                <w:b/>
                <w:bCs/>
              </w:rPr>
              <w:t>4</w:t>
            </w:r>
          </w:p>
        </w:tc>
      </w:tr>
      <w:tr w:rsidR="00AF51F1" w14:paraId="2C9A4382" w14:textId="77777777">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D071F" w14:textId="77777777" w:rsidR="00AF51F1" w:rsidRDefault="00711D3C">
            <w:pPr>
              <w:pStyle w:val="09-Bodytext"/>
              <w:rPr>
                <w:b/>
                <w:bCs/>
              </w:rPr>
            </w:pPr>
            <w:r>
              <w:rPr>
                <w:b/>
                <w:bCs/>
              </w:rPr>
              <w:t xml:space="preserve">Net Book Value </w:t>
            </w:r>
            <w:proofErr w:type="gramStart"/>
            <w:r>
              <w:rPr>
                <w:b/>
                <w:bCs/>
              </w:rPr>
              <w:t>at</w:t>
            </w:r>
            <w:proofErr w:type="gramEnd"/>
            <w:r>
              <w:rPr>
                <w:b/>
                <w:bCs/>
              </w:rPr>
              <w:t xml:space="preserve"> 31 March</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6E90F" w14:textId="77777777" w:rsidR="00AF51F1" w:rsidRDefault="00711D3C">
            <w:pPr>
              <w:pStyle w:val="09-Bodytext"/>
              <w:jc w:val="right"/>
              <w:rPr>
                <w:b/>
                <w:bCs/>
              </w:rPr>
            </w:pPr>
            <w:r>
              <w:rPr>
                <w:b/>
                <w:bCs/>
              </w:rPr>
              <w:t>156</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7B226" w14:textId="77777777" w:rsidR="00AF51F1" w:rsidRDefault="00711D3C">
            <w:pPr>
              <w:pStyle w:val="09-Bodytext"/>
              <w:jc w:val="right"/>
              <w:rPr>
                <w:b/>
                <w:bCs/>
              </w:rPr>
            </w:pPr>
            <w:r>
              <w:rPr>
                <w:b/>
                <w:bCs/>
              </w:rPr>
              <w:t>177</w:t>
            </w:r>
          </w:p>
        </w:tc>
      </w:tr>
    </w:tbl>
    <w:p w14:paraId="351C94B0" w14:textId="77777777" w:rsidR="00AF51F1" w:rsidRDefault="00AF51F1">
      <w:pPr>
        <w:pStyle w:val="09-Bodytext"/>
        <w:rPr>
          <w:shd w:val="clear" w:color="auto" w:fill="FFFF00"/>
        </w:rPr>
      </w:pPr>
    </w:p>
    <w:p w14:paraId="24810233" w14:textId="77777777" w:rsidR="00AF51F1" w:rsidRPr="00CA2E48" w:rsidRDefault="00711D3C" w:rsidP="00CA2E48">
      <w:pPr>
        <w:pStyle w:val="Heading3"/>
        <w:rPr>
          <w:rFonts w:ascii="Arial" w:eastAsia="Times New Roman" w:hAnsi="Arial" w:cs="Times New Roman"/>
          <w:b/>
          <w:bCs/>
          <w:color w:val="auto"/>
          <w:sz w:val="22"/>
          <w:szCs w:val="20"/>
        </w:rPr>
      </w:pPr>
      <w:r w:rsidRPr="00CA2E48">
        <w:rPr>
          <w:rFonts w:ascii="Arial" w:eastAsia="Times New Roman" w:hAnsi="Arial" w:cs="Times New Roman"/>
          <w:b/>
          <w:bCs/>
          <w:color w:val="auto"/>
          <w:sz w:val="22"/>
          <w:szCs w:val="20"/>
        </w:rPr>
        <w:t>Note 12:  Intangible Assets</w:t>
      </w:r>
    </w:p>
    <w:p w14:paraId="043E2557" w14:textId="77777777" w:rsidR="00AF51F1" w:rsidRDefault="00AF51F1">
      <w:pPr>
        <w:pStyle w:val="09-Bodytext"/>
        <w:rPr>
          <w:shd w:val="clear" w:color="auto" w:fill="FFFF00"/>
        </w:rPr>
      </w:pPr>
    </w:p>
    <w:tbl>
      <w:tblPr>
        <w:tblW w:w="5000" w:type="pct"/>
        <w:tblCellMar>
          <w:left w:w="10" w:type="dxa"/>
          <w:right w:w="10" w:type="dxa"/>
        </w:tblCellMar>
        <w:tblLook w:val="0000" w:firstRow="0" w:lastRow="0" w:firstColumn="0" w:lastColumn="0" w:noHBand="0" w:noVBand="0"/>
      </w:tblPr>
      <w:tblGrid>
        <w:gridCol w:w="6232"/>
        <w:gridCol w:w="1417"/>
        <w:gridCol w:w="1367"/>
      </w:tblGrid>
      <w:tr w:rsidR="00AF51F1" w14:paraId="16F875B8" w14:textId="77777777">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B20AB" w14:textId="77777777" w:rsidR="00AF51F1" w:rsidRDefault="00AF51F1">
            <w:pPr>
              <w:pStyle w:val="09-Bodytext"/>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12474" w14:textId="77777777" w:rsidR="00AF51F1" w:rsidRDefault="00711D3C">
            <w:pPr>
              <w:pStyle w:val="09-Bodytext"/>
              <w:jc w:val="right"/>
              <w:rPr>
                <w:b/>
                <w:bCs/>
              </w:rPr>
            </w:pPr>
            <w:r>
              <w:rPr>
                <w:b/>
                <w:bCs/>
              </w:rPr>
              <w:t>2021/22</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031F0" w14:textId="77777777" w:rsidR="00AF51F1" w:rsidRDefault="00711D3C">
            <w:pPr>
              <w:pStyle w:val="09-Bodytext"/>
              <w:jc w:val="right"/>
              <w:rPr>
                <w:b/>
                <w:bCs/>
              </w:rPr>
            </w:pPr>
            <w:r>
              <w:rPr>
                <w:b/>
                <w:bCs/>
              </w:rPr>
              <w:t>2020/21</w:t>
            </w:r>
          </w:p>
        </w:tc>
      </w:tr>
      <w:tr w:rsidR="00AF51F1" w14:paraId="673D86E4" w14:textId="77777777">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8C9CB" w14:textId="77777777" w:rsidR="00AF51F1" w:rsidRDefault="00AF51F1">
            <w:pPr>
              <w:pStyle w:val="09-Bodytext"/>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24232" w14:textId="77777777" w:rsidR="00AF51F1" w:rsidRDefault="00711D3C">
            <w:pPr>
              <w:pStyle w:val="09-Bodytext"/>
              <w:jc w:val="right"/>
              <w:rPr>
                <w:b/>
                <w:bCs/>
              </w:rPr>
            </w:pPr>
            <w:r>
              <w:rPr>
                <w:b/>
                <w:bCs/>
              </w:rPr>
              <w:t>£000</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23CA6" w14:textId="77777777" w:rsidR="00AF51F1" w:rsidRDefault="00711D3C">
            <w:pPr>
              <w:pStyle w:val="09-Bodytext"/>
              <w:jc w:val="right"/>
              <w:rPr>
                <w:b/>
                <w:bCs/>
              </w:rPr>
            </w:pPr>
            <w:r>
              <w:rPr>
                <w:b/>
                <w:bCs/>
              </w:rPr>
              <w:t>£000</w:t>
            </w:r>
          </w:p>
        </w:tc>
      </w:tr>
      <w:tr w:rsidR="00AF51F1" w14:paraId="3BF01FBF" w14:textId="77777777">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CC9D2" w14:textId="77777777" w:rsidR="00AF51F1" w:rsidRDefault="00711D3C">
            <w:pPr>
              <w:pStyle w:val="09-Bodytext"/>
              <w:rPr>
                <w:b/>
                <w:bCs/>
              </w:rPr>
            </w:pPr>
            <w:r>
              <w:rPr>
                <w:b/>
                <w:bCs/>
              </w:rPr>
              <w:t>Cost or Valuation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753D4" w14:textId="77777777" w:rsidR="00AF51F1" w:rsidRDefault="00AF51F1">
            <w:pPr>
              <w:pStyle w:val="09-Bodytext"/>
              <w:jc w:val="right"/>
            </w:pP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7E459" w14:textId="77777777" w:rsidR="00AF51F1" w:rsidRDefault="00AF51F1">
            <w:pPr>
              <w:pStyle w:val="09-Bodytext"/>
              <w:jc w:val="right"/>
            </w:pPr>
          </w:p>
        </w:tc>
      </w:tr>
      <w:tr w:rsidR="00AF51F1" w14:paraId="63AB0269" w14:textId="77777777">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EAE11" w14:textId="77777777" w:rsidR="00AF51F1" w:rsidRDefault="00711D3C">
            <w:pPr>
              <w:pStyle w:val="09-Bodytext"/>
            </w:pPr>
            <w:proofErr w:type="gramStart"/>
            <w:r>
              <w:t>At</w:t>
            </w:r>
            <w:proofErr w:type="gramEnd"/>
            <w:r>
              <w:t xml:space="preserve"> 1 April</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88730" w14:textId="77777777" w:rsidR="00AF51F1" w:rsidRDefault="00711D3C">
            <w:pPr>
              <w:pStyle w:val="09-Bodytext"/>
              <w:jc w:val="right"/>
            </w:pPr>
            <w:r>
              <w:t>2</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6FB14" w14:textId="77777777" w:rsidR="00AF51F1" w:rsidRDefault="00711D3C">
            <w:pPr>
              <w:pStyle w:val="09-Bodytext"/>
              <w:jc w:val="right"/>
            </w:pPr>
            <w:r>
              <w:t>8</w:t>
            </w:r>
          </w:p>
        </w:tc>
      </w:tr>
      <w:tr w:rsidR="00AF51F1" w14:paraId="7058D9B2" w14:textId="77777777">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84F4F" w14:textId="77777777" w:rsidR="00AF51F1" w:rsidRDefault="00711D3C">
            <w:pPr>
              <w:pStyle w:val="09-Bodytext"/>
            </w:pPr>
            <w:r>
              <w:t>Additions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76962" w14:textId="77777777" w:rsidR="00AF51F1" w:rsidRDefault="00711D3C">
            <w:pPr>
              <w:pStyle w:val="09-Bodytext"/>
              <w:jc w:val="right"/>
            </w:pPr>
            <w:r>
              <w:t>0</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2ACB7" w14:textId="77777777" w:rsidR="00AF51F1" w:rsidRDefault="00711D3C">
            <w:pPr>
              <w:pStyle w:val="09-Bodytext"/>
              <w:jc w:val="right"/>
            </w:pPr>
            <w:r>
              <w:t>0</w:t>
            </w:r>
          </w:p>
        </w:tc>
      </w:tr>
      <w:tr w:rsidR="00AF51F1" w14:paraId="22CD408E" w14:textId="77777777">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46D1D" w14:textId="77777777" w:rsidR="00AF51F1" w:rsidRDefault="00711D3C">
            <w:pPr>
              <w:pStyle w:val="09-Bodytext"/>
              <w:rPr>
                <w:bCs/>
              </w:rPr>
            </w:pPr>
            <w:r>
              <w:rPr>
                <w:bCs/>
              </w:rPr>
              <w:t>Derecognition - Disposals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AB74C" w14:textId="77777777" w:rsidR="00AF51F1" w:rsidRDefault="00711D3C">
            <w:pPr>
              <w:pStyle w:val="09-Bodytext"/>
              <w:jc w:val="right"/>
              <w:rPr>
                <w:bCs/>
              </w:rPr>
            </w:pPr>
            <w:r>
              <w:rPr>
                <w:bCs/>
              </w:rPr>
              <w:t>(2)</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69634" w14:textId="77777777" w:rsidR="00AF51F1" w:rsidRDefault="00711D3C">
            <w:pPr>
              <w:pStyle w:val="09-Bodytext"/>
              <w:jc w:val="right"/>
              <w:rPr>
                <w:bCs/>
              </w:rPr>
            </w:pPr>
            <w:r>
              <w:rPr>
                <w:bCs/>
              </w:rPr>
              <w:t>(6)</w:t>
            </w:r>
          </w:p>
        </w:tc>
      </w:tr>
      <w:tr w:rsidR="00AF51F1" w14:paraId="1DB5BB3A" w14:textId="77777777">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23E22" w14:textId="77777777" w:rsidR="00AF51F1" w:rsidRDefault="00711D3C">
            <w:pPr>
              <w:pStyle w:val="09-Bodytext"/>
              <w:rPr>
                <w:b/>
                <w:bCs/>
              </w:rPr>
            </w:pPr>
            <w:proofErr w:type="gramStart"/>
            <w:r>
              <w:rPr>
                <w:b/>
                <w:bCs/>
              </w:rPr>
              <w:t>At</w:t>
            </w:r>
            <w:proofErr w:type="gramEnd"/>
            <w:r>
              <w:rPr>
                <w:b/>
                <w:bCs/>
              </w:rPr>
              <w:t xml:space="preserve"> 31 March</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6812F" w14:textId="77777777" w:rsidR="00AF51F1" w:rsidRDefault="00711D3C">
            <w:pPr>
              <w:pStyle w:val="09-Bodytext"/>
              <w:jc w:val="right"/>
              <w:rPr>
                <w:b/>
                <w:bCs/>
              </w:rPr>
            </w:pPr>
            <w:r>
              <w:rPr>
                <w:b/>
                <w:bCs/>
              </w:rPr>
              <w:t>0</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6B1F4" w14:textId="77777777" w:rsidR="00AF51F1" w:rsidRDefault="00711D3C">
            <w:pPr>
              <w:pStyle w:val="09-Bodytext"/>
              <w:jc w:val="right"/>
              <w:rPr>
                <w:b/>
                <w:bCs/>
              </w:rPr>
            </w:pPr>
            <w:r>
              <w:rPr>
                <w:b/>
                <w:bCs/>
              </w:rPr>
              <w:t>2</w:t>
            </w:r>
          </w:p>
        </w:tc>
      </w:tr>
      <w:tr w:rsidR="00AF51F1" w14:paraId="7ECBA790" w14:textId="77777777">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C74E3" w14:textId="77777777" w:rsidR="00AF51F1" w:rsidRDefault="00AF51F1">
            <w:pPr>
              <w:pStyle w:val="09-Bodytext"/>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D19FC" w14:textId="77777777" w:rsidR="00AF51F1" w:rsidRDefault="00AF51F1">
            <w:pPr>
              <w:pStyle w:val="09-Bodytext"/>
              <w:jc w:val="right"/>
            </w:pP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A9325" w14:textId="77777777" w:rsidR="00AF51F1" w:rsidRDefault="00AF51F1">
            <w:pPr>
              <w:pStyle w:val="09-Bodytext"/>
              <w:jc w:val="right"/>
            </w:pPr>
          </w:p>
        </w:tc>
      </w:tr>
      <w:tr w:rsidR="00AF51F1" w14:paraId="610AD2AB" w14:textId="77777777">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83732" w14:textId="77777777" w:rsidR="00AF51F1" w:rsidRDefault="00711D3C">
            <w:pPr>
              <w:pStyle w:val="09-Bodytext"/>
              <w:rPr>
                <w:b/>
                <w:bCs/>
              </w:rPr>
            </w:pPr>
            <w:r>
              <w:rPr>
                <w:b/>
                <w:bCs/>
              </w:rPr>
              <w:t>Accumulated Amortisation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A6AFC" w14:textId="77777777" w:rsidR="00AF51F1" w:rsidRDefault="00AF51F1">
            <w:pPr>
              <w:pStyle w:val="09-Bodytext"/>
              <w:jc w:val="right"/>
            </w:pP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6F5A6" w14:textId="77777777" w:rsidR="00AF51F1" w:rsidRDefault="00AF51F1">
            <w:pPr>
              <w:pStyle w:val="09-Bodytext"/>
              <w:jc w:val="right"/>
            </w:pPr>
          </w:p>
        </w:tc>
      </w:tr>
      <w:tr w:rsidR="00AF51F1" w14:paraId="3F1774F9" w14:textId="77777777">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0E394" w14:textId="77777777" w:rsidR="00AF51F1" w:rsidRDefault="00711D3C">
            <w:pPr>
              <w:pStyle w:val="09-Bodytext"/>
            </w:pPr>
            <w:proofErr w:type="gramStart"/>
            <w:r>
              <w:t>At</w:t>
            </w:r>
            <w:proofErr w:type="gramEnd"/>
            <w:r>
              <w:t xml:space="preserve"> 1 April</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78F78" w14:textId="77777777" w:rsidR="00AF51F1" w:rsidRDefault="00711D3C">
            <w:pPr>
              <w:pStyle w:val="09-Bodytext"/>
              <w:jc w:val="right"/>
            </w:pPr>
            <w:r>
              <w:t>2</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794E3" w14:textId="77777777" w:rsidR="00AF51F1" w:rsidRDefault="00711D3C">
            <w:pPr>
              <w:pStyle w:val="09-Bodytext"/>
              <w:jc w:val="right"/>
            </w:pPr>
            <w:r>
              <w:t>6</w:t>
            </w:r>
          </w:p>
        </w:tc>
      </w:tr>
      <w:tr w:rsidR="00AF51F1" w14:paraId="3B904F24" w14:textId="77777777">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F4A41" w14:textId="77777777" w:rsidR="00AF51F1" w:rsidRDefault="00711D3C">
            <w:pPr>
              <w:pStyle w:val="09-Bodytext"/>
            </w:pPr>
            <w:r>
              <w:t>Amortisation of Intangible Assets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05244" w14:textId="77777777" w:rsidR="00AF51F1" w:rsidRDefault="00711D3C">
            <w:pPr>
              <w:pStyle w:val="09-Bodytext"/>
              <w:jc w:val="right"/>
            </w:pPr>
            <w:r>
              <w:t>0</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0CC74" w14:textId="77777777" w:rsidR="00AF51F1" w:rsidRDefault="00711D3C">
            <w:pPr>
              <w:pStyle w:val="09-Bodytext"/>
              <w:jc w:val="right"/>
            </w:pPr>
            <w:r>
              <w:t>2</w:t>
            </w:r>
          </w:p>
        </w:tc>
      </w:tr>
      <w:tr w:rsidR="00AF51F1" w14:paraId="4B4EDA13" w14:textId="77777777">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8D91E" w14:textId="77777777" w:rsidR="00AF51F1" w:rsidRDefault="00711D3C">
            <w:pPr>
              <w:pStyle w:val="09-Bodytext"/>
            </w:pPr>
            <w:r>
              <w:rPr>
                <w:bCs/>
              </w:rPr>
              <w:t>Derecognition - Disposals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E20D9" w14:textId="77777777" w:rsidR="00AF51F1" w:rsidRDefault="00711D3C">
            <w:pPr>
              <w:pStyle w:val="09-Bodytext"/>
              <w:jc w:val="right"/>
              <w:rPr>
                <w:bCs/>
              </w:rPr>
            </w:pPr>
            <w:r>
              <w:rPr>
                <w:bCs/>
              </w:rPr>
              <w:t>(2)</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F1394" w14:textId="77777777" w:rsidR="00AF51F1" w:rsidRDefault="00711D3C">
            <w:pPr>
              <w:pStyle w:val="09-Bodytext"/>
              <w:jc w:val="right"/>
              <w:rPr>
                <w:bCs/>
              </w:rPr>
            </w:pPr>
            <w:r>
              <w:rPr>
                <w:bCs/>
              </w:rPr>
              <w:t>(6)</w:t>
            </w:r>
          </w:p>
        </w:tc>
      </w:tr>
      <w:tr w:rsidR="00AF51F1" w14:paraId="6E7EF522" w14:textId="77777777">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0E56B" w14:textId="77777777" w:rsidR="00AF51F1" w:rsidRDefault="00711D3C">
            <w:pPr>
              <w:pStyle w:val="09-Bodytext"/>
              <w:rPr>
                <w:b/>
                <w:bCs/>
              </w:rPr>
            </w:pPr>
            <w:proofErr w:type="gramStart"/>
            <w:r>
              <w:rPr>
                <w:b/>
                <w:bCs/>
              </w:rPr>
              <w:t>At</w:t>
            </w:r>
            <w:proofErr w:type="gramEnd"/>
            <w:r>
              <w:rPr>
                <w:b/>
                <w:bCs/>
              </w:rPr>
              <w:t xml:space="preserve"> 31 March</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DFD88" w14:textId="77777777" w:rsidR="00AF51F1" w:rsidRDefault="00711D3C">
            <w:pPr>
              <w:pStyle w:val="09-Bodytext"/>
              <w:jc w:val="right"/>
              <w:rPr>
                <w:b/>
                <w:bCs/>
              </w:rPr>
            </w:pPr>
            <w:r>
              <w:rPr>
                <w:b/>
                <w:bCs/>
              </w:rPr>
              <w:t>0</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42511" w14:textId="77777777" w:rsidR="00AF51F1" w:rsidRDefault="00711D3C">
            <w:pPr>
              <w:pStyle w:val="09-Bodytext"/>
              <w:jc w:val="right"/>
              <w:rPr>
                <w:b/>
                <w:bCs/>
              </w:rPr>
            </w:pPr>
            <w:r>
              <w:rPr>
                <w:b/>
                <w:bCs/>
              </w:rPr>
              <w:t>2</w:t>
            </w:r>
          </w:p>
        </w:tc>
      </w:tr>
      <w:tr w:rsidR="00AF51F1" w14:paraId="0976A74E" w14:textId="77777777">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F1224" w14:textId="77777777" w:rsidR="00AF51F1" w:rsidRDefault="00711D3C">
            <w:pPr>
              <w:pStyle w:val="09-Bodytext"/>
              <w:rPr>
                <w:b/>
                <w:bCs/>
              </w:rPr>
            </w:pPr>
            <w:r>
              <w:rPr>
                <w:b/>
                <w:bCs/>
              </w:rPr>
              <w:t xml:space="preserve">Net Book Value </w:t>
            </w:r>
            <w:proofErr w:type="gramStart"/>
            <w:r>
              <w:rPr>
                <w:b/>
                <w:bCs/>
              </w:rPr>
              <w:t>at</w:t>
            </w:r>
            <w:proofErr w:type="gramEnd"/>
            <w:r>
              <w:rPr>
                <w:b/>
                <w:bCs/>
              </w:rPr>
              <w:t xml:space="preserve"> 31 March</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79B0F" w14:textId="77777777" w:rsidR="00AF51F1" w:rsidRDefault="00711D3C">
            <w:pPr>
              <w:pStyle w:val="09-Bodytext"/>
              <w:jc w:val="right"/>
              <w:rPr>
                <w:b/>
                <w:bCs/>
              </w:rPr>
            </w:pPr>
            <w:r>
              <w:rPr>
                <w:b/>
                <w:bCs/>
              </w:rPr>
              <w:t>0</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48031" w14:textId="77777777" w:rsidR="00AF51F1" w:rsidRDefault="00711D3C">
            <w:pPr>
              <w:pStyle w:val="09-Bodytext"/>
              <w:jc w:val="right"/>
              <w:rPr>
                <w:b/>
                <w:bCs/>
              </w:rPr>
            </w:pPr>
            <w:r>
              <w:rPr>
                <w:b/>
                <w:bCs/>
              </w:rPr>
              <w:t>0</w:t>
            </w:r>
          </w:p>
        </w:tc>
      </w:tr>
    </w:tbl>
    <w:p w14:paraId="27FD0419" w14:textId="77777777" w:rsidR="00AF51F1" w:rsidRDefault="00AF51F1">
      <w:pPr>
        <w:pStyle w:val="09-Bodytext"/>
        <w:rPr>
          <w:shd w:val="clear" w:color="auto" w:fill="FFFF00"/>
        </w:rPr>
      </w:pPr>
    </w:p>
    <w:p w14:paraId="309305BB" w14:textId="77777777" w:rsidR="00AF51F1" w:rsidRPr="00CA2E48" w:rsidRDefault="00711D3C" w:rsidP="00CA2E48">
      <w:pPr>
        <w:pStyle w:val="Heading3"/>
        <w:rPr>
          <w:rFonts w:ascii="Arial" w:eastAsia="Times New Roman" w:hAnsi="Arial" w:cs="Times New Roman"/>
          <w:b/>
          <w:bCs/>
          <w:color w:val="auto"/>
          <w:sz w:val="22"/>
          <w:szCs w:val="20"/>
        </w:rPr>
      </w:pPr>
      <w:r w:rsidRPr="00CA2E48">
        <w:rPr>
          <w:rFonts w:ascii="Arial" w:eastAsia="Times New Roman" w:hAnsi="Arial" w:cs="Times New Roman"/>
          <w:b/>
          <w:bCs/>
          <w:color w:val="auto"/>
          <w:sz w:val="22"/>
          <w:szCs w:val="20"/>
        </w:rPr>
        <w:t>Note 13:  Short Term Debtors</w:t>
      </w:r>
    </w:p>
    <w:p w14:paraId="134F97D3" w14:textId="77777777" w:rsidR="00AF51F1" w:rsidRDefault="00AF51F1">
      <w:pPr>
        <w:pStyle w:val="09-Bodytext"/>
      </w:pPr>
    </w:p>
    <w:p w14:paraId="6F8038AA" w14:textId="77777777" w:rsidR="00AF51F1" w:rsidRDefault="00711D3C">
      <w:pPr>
        <w:pStyle w:val="09-Bodytext"/>
      </w:pPr>
      <w:r>
        <w:t>The debtors figure comprises prepayments and is analysed as follows:</w:t>
      </w:r>
    </w:p>
    <w:p w14:paraId="250AC8BF" w14:textId="77777777" w:rsidR="00AF51F1" w:rsidRDefault="00AF51F1">
      <w:pPr>
        <w:pStyle w:val="09-Bodytext"/>
        <w:rPr>
          <w:shd w:val="clear" w:color="auto" w:fill="FFFF00"/>
        </w:rPr>
      </w:pPr>
    </w:p>
    <w:tbl>
      <w:tblPr>
        <w:tblW w:w="5000" w:type="pct"/>
        <w:tblCellMar>
          <w:left w:w="10" w:type="dxa"/>
          <w:right w:w="10" w:type="dxa"/>
        </w:tblCellMar>
        <w:tblLook w:val="0000" w:firstRow="0" w:lastRow="0" w:firstColumn="0" w:lastColumn="0" w:noHBand="0" w:noVBand="0"/>
      </w:tblPr>
      <w:tblGrid>
        <w:gridCol w:w="6232"/>
        <w:gridCol w:w="1417"/>
        <w:gridCol w:w="1367"/>
      </w:tblGrid>
      <w:tr w:rsidR="00AF51F1" w14:paraId="531C3825" w14:textId="77777777">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40BF3" w14:textId="77777777" w:rsidR="00AF51F1" w:rsidRDefault="00AF51F1">
            <w:pPr>
              <w:pStyle w:val="09-Bodytext"/>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B2478" w14:textId="77777777" w:rsidR="00AF51F1" w:rsidRDefault="00711D3C">
            <w:pPr>
              <w:pStyle w:val="09-Bodytext"/>
              <w:jc w:val="right"/>
              <w:rPr>
                <w:b/>
                <w:bCs/>
              </w:rPr>
            </w:pPr>
            <w:r>
              <w:rPr>
                <w:b/>
                <w:bCs/>
              </w:rPr>
              <w:t>2021/22</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2FC78" w14:textId="77777777" w:rsidR="00AF51F1" w:rsidRDefault="00711D3C">
            <w:pPr>
              <w:pStyle w:val="09-Bodytext"/>
              <w:jc w:val="right"/>
              <w:rPr>
                <w:b/>
                <w:bCs/>
              </w:rPr>
            </w:pPr>
            <w:r>
              <w:rPr>
                <w:b/>
                <w:bCs/>
              </w:rPr>
              <w:t>2020/21</w:t>
            </w:r>
          </w:p>
        </w:tc>
      </w:tr>
      <w:tr w:rsidR="00AF51F1" w14:paraId="6EE9B6BE" w14:textId="77777777">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2D840" w14:textId="77777777" w:rsidR="00AF51F1" w:rsidRDefault="00AF51F1">
            <w:pPr>
              <w:pStyle w:val="09-Bodytext"/>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F1646" w14:textId="77777777" w:rsidR="00AF51F1" w:rsidRDefault="00711D3C">
            <w:pPr>
              <w:pStyle w:val="09-Bodytext"/>
              <w:jc w:val="right"/>
              <w:rPr>
                <w:b/>
                <w:bCs/>
              </w:rPr>
            </w:pPr>
            <w:r>
              <w:rPr>
                <w:b/>
                <w:bCs/>
              </w:rPr>
              <w:t>£000</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63B32" w14:textId="77777777" w:rsidR="00AF51F1" w:rsidRDefault="00711D3C">
            <w:pPr>
              <w:pStyle w:val="09-Bodytext"/>
              <w:jc w:val="right"/>
              <w:rPr>
                <w:b/>
                <w:bCs/>
              </w:rPr>
            </w:pPr>
            <w:r>
              <w:rPr>
                <w:b/>
                <w:bCs/>
              </w:rPr>
              <w:t>£000</w:t>
            </w:r>
          </w:p>
        </w:tc>
      </w:tr>
      <w:tr w:rsidR="00AF51F1" w14:paraId="04D10856" w14:textId="77777777">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47F1A" w14:textId="77777777" w:rsidR="00AF51F1" w:rsidRDefault="00711D3C">
            <w:pPr>
              <w:pStyle w:val="09-Bodytext"/>
            </w:pPr>
            <w:r>
              <w:t>Information Technology Annual Support and Maintenance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CC777" w14:textId="77777777" w:rsidR="00AF51F1" w:rsidRDefault="00711D3C">
            <w:pPr>
              <w:pStyle w:val="09-Bodytext"/>
              <w:jc w:val="right"/>
            </w:pPr>
            <w:r>
              <w:t>71</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CCA7D" w14:textId="77777777" w:rsidR="00AF51F1" w:rsidRDefault="00711D3C">
            <w:pPr>
              <w:pStyle w:val="09-Bodytext"/>
              <w:jc w:val="right"/>
            </w:pPr>
            <w:r>
              <w:t>51</w:t>
            </w:r>
          </w:p>
        </w:tc>
      </w:tr>
      <w:tr w:rsidR="00AF51F1" w14:paraId="11A8BA15" w14:textId="77777777">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9866F" w14:textId="77777777" w:rsidR="00AF51F1" w:rsidRDefault="00711D3C">
            <w:pPr>
              <w:pStyle w:val="09-Bodytext"/>
            </w:pPr>
            <w:r>
              <w:t>Membership Fees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73D32" w14:textId="77777777" w:rsidR="00AF51F1" w:rsidRDefault="00711D3C">
            <w:pPr>
              <w:pStyle w:val="09-Bodytext"/>
              <w:jc w:val="right"/>
            </w:pPr>
            <w:r>
              <w:t>1</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37E14" w14:textId="77777777" w:rsidR="00AF51F1" w:rsidRDefault="00711D3C">
            <w:pPr>
              <w:pStyle w:val="09-Bodytext"/>
              <w:jc w:val="right"/>
              <w:rPr>
                <w:bCs/>
              </w:rPr>
            </w:pPr>
            <w:r>
              <w:rPr>
                <w:bCs/>
              </w:rPr>
              <w:t>0</w:t>
            </w:r>
          </w:p>
        </w:tc>
      </w:tr>
      <w:tr w:rsidR="00AF51F1" w14:paraId="2E10ED95" w14:textId="77777777">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771ED" w14:textId="77777777" w:rsidR="00AF51F1" w:rsidRDefault="00711D3C">
            <w:pPr>
              <w:pStyle w:val="09-Bodytext"/>
            </w:pPr>
            <w:r>
              <w:t>Insurance Services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A50B5" w14:textId="77777777" w:rsidR="00AF51F1" w:rsidRDefault="00711D3C">
            <w:pPr>
              <w:pStyle w:val="09-Bodytext"/>
              <w:jc w:val="right"/>
            </w:pPr>
            <w:r>
              <w:t>0</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7381F" w14:textId="77777777" w:rsidR="00AF51F1" w:rsidRDefault="00711D3C">
            <w:pPr>
              <w:pStyle w:val="09-Bodytext"/>
              <w:jc w:val="right"/>
              <w:rPr>
                <w:bCs/>
              </w:rPr>
            </w:pPr>
            <w:r>
              <w:rPr>
                <w:bCs/>
              </w:rPr>
              <w:t>7</w:t>
            </w:r>
          </w:p>
        </w:tc>
      </w:tr>
      <w:tr w:rsidR="00AF51F1" w:rsidRPr="005D68BA" w14:paraId="2AA813D4" w14:textId="77777777">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72B65" w14:textId="77777777" w:rsidR="00AF51F1" w:rsidRPr="005D68BA" w:rsidRDefault="00711D3C">
            <w:pPr>
              <w:pStyle w:val="09-Bodytext"/>
              <w:rPr>
                <w:b/>
                <w:bCs/>
              </w:rPr>
            </w:pPr>
            <w:r w:rsidRPr="005D68BA">
              <w:rPr>
                <w:b/>
                <w:bCs/>
              </w:rPr>
              <w:t>Total</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8995C" w14:textId="77777777" w:rsidR="00AF51F1" w:rsidRPr="005D68BA" w:rsidRDefault="00711D3C">
            <w:pPr>
              <w:pStyle w:val="09-Bodytext"/>
              <w:jc w:val="right"/>
              <w:rPr>
                <w:b/>
                <w:bCs/>
              </w:rPr>
            </w:pPr>
            <w:r w:rsidRPr="005D68BA">
              <w:rPr>
                <w:b/>
                <w:bCs/>
              </w:rPr>
              <w:t>72</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025D4" w14:textId="77777777" w:rsidR="00AF51F1" w:rsidRPr="005D68BA" w:rsidRDefault="00711D3C">
            <w:pPr>
              <w:pStyle w:val="09-Bodytext"/>
              <w:jc w:val="right"/>
              <w:rPr>
                <w:b/>
                <w:bCs/>
              </w:rPr>
            </w:pPr>
            <w:r w:rsidRPr="005D68BA">
              <w:rPr>
                <w:b/>
                <w:bCs/>
              </w:rPr>
              <w:t>58</w:t>
            </w:r>
          </w:p>
        </w:tc>
      </w:tr>
    </w:tbl>
    <w:p w14:paraId="0D0D6F61" w14:textId="77777777" w:rsidR="00AF51F1" w:rsidRPr="00CA2E48" w:rsidRDefault="00711D3C" w:rsidP="00CA2E48">
      <w:pPr>
        <w:pStyle w:val="Heading3"/>
        <w:rPr>
          <w:rFonts w:ascii="Arial" w:eastAsia="Times New Roman" w:hAnsi="Arial" w:cs="Times New Roman"/>
          <w:b/>
          <w:bCs/>
          <w:color w:val="auto"/>
          <w:sz w:val="22"/>
          <w:szCs w:val="20"/>
        </w:rPr>
      </w:pPr>
      <w:r w:rsidRPr="00CA2E48">
        <w:rPr>
          <w:rFonts w:ascii="Arial" w:eastAsia="Times New Roman" w:hAnsi="Arial" w:cs="Times New Roman"/>
          <w:b/>
          <w:bCs/>
          <w:color w:val="auto"/>
          <w:sz w:val="22"/>
          <w:szCs w:val="20"/>
        </w:rPr>
        <w:lastRenderedPageBreak/>
        <w:t>Note 14:  Short Term Creditors</w:t>
      </w:r>
    </w:p>
    <w:p w14:paraId="57769B07" w14:textId="77777777" w:rsidR="00AF51F1" w:rsidRDefault="00AF51F1">
      <w:pPr>
        <w:pStyle w:val="09-Bodytext"/>
      </w:pPr>
    </w:p>
    <w:p w14:paraId="7C263D9F" w14:textId="77777777" w:rsidR="00AF51F1" w:rsidRDefault="00711D3C">
      <w:pPr>
        <w:pStyle w:val="09-Bodytext"/>
      </w:pPr>
      <w:r>
        <w:t>The creditors figure is analysed as follows:</w:t>
      </w:r>
    </w:p>
    <w:p w14:paraId="6216F40C" w14:textId="77777777" w:rsidR="00AF51F1" w:rsidRDefault="00AF51F1">
      <w:pPr>
        <w:pStyle w:val="09-Bodytext"/>
        <w:rPr>
          <w:shd w:val="clear" w:color="auto" w:fill="FFFF00"/>
        </w:rPr>
      </w:pPr>
    </w:p>
    <w:tbl>
      <w:tblPr>
        <w:tblW w:w="5000" w:type="pct"/>
        <w:tblCellMar>
          <w:left w:w="10" w:type="dxa"/>
          <w:right w:w="10" w:type="dxa"/>
        </w:tblCellMar>
        <w:tblLook w:val="0000" w:firstRow="0" w:lastRow="0" w:firstColumn="0" w:lastColumn="0" w:noHBand="0" w:noVBand="0"/>
      </w:tblPr>
      <w:tblGrid>
        <w:gridCol w:w="6232"/>
        <w:gridCol w:w="1417"/>
        <w:gridCol w:w="1367"/>
      </w:tblGrid>
      <w:tr w:rsidR="00AF51F1" w14:paraId="227C1871" w14:textId="77777777">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D50CB" w14:textId="77777777" w:rsidR="00AF51F1" w:rsidRDefault="00AF51F1">
            <w:pPr>
              <w:pStyle w:val="09-Bodytext"/>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14CD2" w14:textId="77777777" w:rsidR="00AF51F1" w:rsidRDefault="00711D3C">
            <w:pPr>
              <w:pStyle w:val="09-Bodytext"/>
              <w:jc w:val="right"/>
              <w:rPr>
                <w:b/>
                <w:bCs/>
              </w:rPr>
            </w:pPr>
            <w:r>
              <w:rPr>
                <w:b/>
                <w:bCs/>
              </w:rPr>
              <w:t>2021/22</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CDC4C" w14:textId="77777777" w:rsidR="00AF51F1" w:rsidRDefault="00711D3C">
            <w:pPr>
              <w:pStyle w:val="09-Bodytext"/>
              <w:jc w:val="right"/>
              <w:rPr>
                <w:b/>
                <w:bCs/>
              </w:rPr>
            </w:pPr>
            <w:r>
              <w:rPr>
                <w:b/>
                <w:bCs/>
              </w:rPr>
              <w:t>2020/21</w:t>
            </w:r>
          </w:p>
        </w:tc>
      </w:tr>
      <w:tr w:rsidR="00AF51F1" w14:paraId="0BA071E7" w14:textId="77777777">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26FCF" w14:textId="77777777" w:rsidR="00AF51F1" w:rsidRDefault="00AF51F1">
            <w:pPr>
              <w:pStyle w:val="09-Bodytext"/>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819FC" w14:textId="77777777" w:rsidR="00AF51F1" w:rsidRDefault="00711D3C">
            <w:pPr>
              <w:pStyle w:val="09-Bodytext"/>
              <w:jc w:val="right"/>
              <w:rPr>
                <w:b/>
                <w:bCs/>
              </w:rPr>
            </w:pPr>
            <w:r>
              <w:rPr>
                <w:b/>
                <w:bCs/>
              </w:rPr>
              <w:t>£000</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9C4D2" w14:textId="77777777" w:rsidR="00AF51F1" w:rsidRDefault="00711D3C">
            <w:pPr>
              <w:pStyle w:val="09-Bodytext"/>
              <w:jc w:val="right"/>
              <w:rPr>
                <w:b/>
                <w:bCs/>
              </w:rPr>
            </w:pPr>
            <w:r>
              <w:rPr>
                <w:b/>
                <w:bCs/>
              </w:rPr>
              <w:t>£000</w:t>
            </w:r>
          </w:p>
        </w:tc>
      </w:tr>
      <w:tr w:rsidR="00AF51F1" w14:paraId="2355F103" w14:textId="77777777">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E5494" w14:textId="77777777" w:rsidR="00AF51F1" w:rsidRDefault="00711D3C">
            <w:pPr>
              <w:pStyle w:val="09-Bodytext"/>
            </w:pPr>
            <w:r>
              <w:t>Valuation Appeal Panel – Fees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F8B4E" w14:textId="77777777" w:rsidR="00AF51F1" w:rsidRDefault="00711D3C">
            <w:pPr>
              <w:pStyle w:val="09-Bodytext"/>
              <w:jc w:val="right"/>
            </w:pPr>
            <w:r>
              <w:t>21</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00B80" w14:textId="77777777" w:rsidR="00AF51F1" w:rsidRDefault="00711D3C">
            <w:pPr>
              <w:pStyle w:val="09-Bodytext"/>
              <w:jc w:val="right"/>
            </w:pPr>
            <w:r>
              <w:t>25</w:t>
            </w:r>
          </w:p>
        </w:tc>
      </w:tr>
      <w:tr w:rsidR="00AF51F1" w14:paraId="1DA999C4" w14:textId="77777777">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BCCD1" w14:textId="77777777" w:rsidR="00AF51F1" w:rsidRDefault="00711D3C">
            <w:pPr>
              <w:pStyle w:val="09-Bodytext"/>
            </w:pPr>
            <w:r>
              <w:t xml:space="preserve">Royal Mail – Postal Charges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D47C3" w14:textId="77777777" w:rsidR="00AF51F1" w:rsidRDefault="00711D3C">
            <w:pPr>
              <w:pStyle w:val="09-Bodytext"/>
              <w:jc w:val="right"/>
            </w:pPr>
            <w:r>
              <w:t>0</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6FBE1" w14:textId="77777777" w:rsidR="00AF51F1" w:rsidRDefault="00711D3C">
            <w:pPr>
              <w:pStyle w:val="09-Bodytext"/>
              <w:jc w:val="right"/>
            </w:pPr>
            <w:r>
              <w:t>8</w:t>
            </w:r>
          </w:p>
        </w:tc>
      </w:tr>
      <w:tr w:rsidR="00AF51F1" w14:paraId="77724A62" w14:textId="77777777">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CC26E" w14:textId="77777777" w:rsidR="00AF51F1" w:rsidRDefault="00711D3C">
            <w:pPr>
              <w:pStyle w:val="09-Bodytext"/>
            </w:pPr>
            <w:r>
              <w:t>North Lanarkshire Council – Convenor Salary</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BC1B6" w14:textId="77777777" w:rsidR="00AF51F1" w:rsidRDefault="00711D3C">
            <w:pPr>
              <w:pStyle w:val="09-Bodytext"/>
              <w:jc w:val="right"/>
            </w:pPr>
            <w:r>
              <w:t>6</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35576" w14:textId="77777777" w:rsidR="00AF51F1" w:rsidRDefault="00711D3C">
            <w:pPr>
              <w:pStyle w:val="09-Bodytext"/>
              <w:jc w:val="right"/>
            </w:pPr>
            <w:r>
              <w:t>0</w:t>
            </w:r>
          </w:p>
        </w:tc>
      </w:tr>
      <w:tr w:rsidR="00AF51F1" w14:paraId="63C7A62C" w14:textId="77777777">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C8C7B" w14:textId="77777777" w:rsidR="00AF51F1" w:rsidRDefault="00711D3C">
            <w:pPr>
              <w:pStyle w:val="09-Bodytext"/>
            </w:pPr>
            <w:r>
              <w:t xml:space="preserve">Accumulated Compensated Absences – Annual Leave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646B0" w14:textId="77777777" w:rsidR="00AF51F1" w:rsidRDefault="00711D3C">
            <w:pPr>
              <w:pStyle w:val="09-Bodytext"/>
              <w:jc w:val="right"/>
            </w:pPr>
            <w:r>
              <w:t>95</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2BF74" w14:textId="77777777" w:rsidR="00AF51F1" w:rsidRDefault="00711D3C">
            <w:pPr>
              <w:pStyle w:val="09-Bodytext"/>
              <w:jc w:val="right"/>
            </w:pPr>
            <w:r>
              <w:t>126</w:t>
            </w:r>
          </w:p>
        </w:tc>
      </w:tr>
      <w:tr w:rsidR="00AF51F1" w14:paraId="4877B9FC" w14:textId="77777777">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EC870" w14:textId="77777777" w:rsidR="00AF51F1" w:rsidRDefault="00711D3C">
            <w:pPr>
              <w:pStyle w:val="09-Bodytext"/>
            </w:pPr>
            <w:r>
              <w:t>Other – Employee Cost Accrual</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C6473" w14:textId="77777777" w:rsidR="00AF51F1" w:rsidRDefault="00711D3C">
            <w:pPr>
              <w:pStyle w:val="09-Bodytext"/>
              <w:jc w:val="right"/>
            </w:pPr>
            <w:r>
              <w:t>102</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6820B" w14:textId="77777777" w:rsidR="00AF51F1" w:rsidRDefault="00711D3C">
            <w:pPr>
              <w:pStyle w:val="09-Bodytext"/>
              <w:jc w:val="right"/>
            </w:pPr>
            <w:r>
              <w:t>111</w:t>
            </w:r>
          </w:p>
        </w:tc>
      </w:tr>
      <w:tr w:rsidR="00AF51F1" w14:paraId="38D9CF26" w14:textId="77777777">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6D828" w14:textId="77777777" w:rsidR="00AF51F1" w:rsidRDefault="00711D3C">
            <w:pPr>
              <w:pStyle w:val="09-Bodytext"/>
              <w:rPr>
                <w:bCs/>
              </w:rPr>
            </w:pPr>
            <w:r>
              <w:rPr>
                <w:bCs/>
              </w:rPr>
              <w:t>Registers of Scotland</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F47AE" w14:textId="77777777" w:rsidR="00AF51F1" w:rsidRDefault="00711D3C">
            <w:pPr>
              <w:pStyle w:val="09-Bodytext"/>
              <w:jc w:val="right"/>
              <w:rPr>
                <w:bCs/>
              </w:rPr>
            </w:pPr>
            <w:r>
              <w:rPr>
                <w:bCs/>
              </w:rPr>
              <w:t>1</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DAD30" w14:textId="77777777" w:rsidR="00AF51F1" w:rsidRDefault="00711D3C">
            <w:pPr>
              <w:pStyle w:val="09-Bodytext"/>
              <w:jc w:val="right"/>
            </w:pPr>
            <w:r>
              <w:t>0</w:t>
            </w:r>
          </w:p>
        </w:tc>
      </w:tr>
      <w:tr w:rsidR="00AF51F1" w14:paraId="3C42FF9B" w14:textId="77777777">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CADF0" w14:textId="77777777" w:rsidR="00AF51F1" w:rsidRDefault="00711D3C">
            <w:pPr>
              <w:pStyle w:val="09-Bodytext"/>
            </w:pPr>
            <w:r>
              <w:t>Scottish Government – Barclay Underspend</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98E75" w14:textId="77777777" w:rsidR="00AF51F1" w:rsidRDefault="00711D3C">
            <w:pPr>
              <w:pStyle w:val="09-Bodytext"/>
              <w:jc w:val="right"/>
              <w:rPr>
                <w:bCs/>
              </w:rPr>
            </w:pPr>
            <w:r>
              <w:rPr>
                <w:bCs/>
              </w:rPr>
              <w:t>0</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ACFD0" w14:textId="77777777" w:rsidR="00AF51F1" w:rsidRDefault="00711D3C">
            <w:pPr>
              <w:pStyle w:val="09-Bodytext"/>
              <w:jc w:val="right"/>
            </w:pPr>
            <w:r>
              <w:t>209</w:t>
            </w:r>
          </w:p>
        </w:tc>
      </w:tr>
      <w:tr w:rsidR="00AF51F1" w14:paraId="270BF9F6" w14:textId="77777777">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4BB1E" w14:textId="77777777" w:rsidR="00AF51F1" w:rsidRDefault="00711D3C">
            <w:pPr>
              <w:pStyle w:val="09-Bodytext"/>
              <w:rPr>
                <w:b/>
                <w:bCs/>
              </w:rPr>
            </w:pPr>
            <w:r>
              <w:rPr>
                <w:b/>
                <w:bCs/>
              </w:rPr>
              <w:t>Total</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B579F" w14:textId="77777777" w:rsidR="00AF51F1" w:rsidRDefault="00711D3C">
            <w:pPr>
              <w:pStyle w:val="09-Bodytext"/>
              <w:jc w:val="right"/>
              <w:rPr>
                <w:b/>
                <w:bCs/>
              </w:rPr>
            </w:pPr>
            <w:r>
              <w:rPr>
                <w:b/>
                <w:bCs/>
              </w:rPr>
              <w:t>225</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D53FE" w14:textId="77777777" w:rsidR="00AF51F1" w:rsidRDefault="00711D3C">
            <w:pPr>
              <w:pStyle w:val="09-Bodytext"/>
              <w:jc w:val="right"/>
              <w:rPr>
                <w:b/>
                <w:bCs/>
              </w:rPr>
            </w:pPr>
            <w:r>
              <w:rPr>
                <w:b/>
                <w:bCs/>
              </w:rPr>
              <w:t>479</w:t>
            </w:r>
          </w:p>
        </w:tc>
      </w:tr>
    </w:tbl>
    <w:p w14:paraId="11811F2C" w14:textId="77777777" w:rsidR="00AF51F1" w:rsidRDefault="00AF51F1">
      <w:pPr>
        <w:pStyle w:val="09-Bodytext"/>
        <w:rPr>
          <w:shd w:val="clear" w:color="auto" w:fill="FFFF00"/>
        </w:rPr>
      </w:pPr>
    </w:p>
    <w:p w14:paraId="2195956E" w14:textId="77777777" w:rsidR="00AF51F1" w:rsidRPr="00CA2E48" w:rsidRDefault="00711D3C" w:rsidP="00CA2E48">
      <w:pPr>
        <w:pStyle w:val="Heading3"/>
        <w:rPr>
          <w:rFonts w:ascii="Arial" w:eastAsia="Times New Roman" w:hAnsi="Arial" w:cs="Times New Roman"/>
          <w:b/>
          <w:bCs/>
          <w:color w:val="auto"/>
          <w:sz w:val="22"/>
          <w:szCs w:val="20"/>
        </w:rPr>
      </w:pPr>
      <w:r w:rsidRPr="00CA2E48">
        <w:rPr>
          <w:rFonts w:ascii="Arial" w:eastAsia="Times New Roman" w:hAnsi="Arial" w:cs="Times New Roman"/>
          <w:b/>
          <w:bCs/>
          <w:color w:val="auto"/>
          <w:sz w:val="22"/>
          <w:szCs w:val="20"/>
        </w:rPr>
        <w:t>Note 15:  Related Party Transactions</w:t>
      </w:r>
    </w:p>
    <w:p w14:paraId="02926A84" w14:textId="77777777" w:rsidR="00AF51F1" w:rsidRDefault="00AF51F1">
      <w:pPr>
        <w:pStyle w:val="09-Bodytext"/>
      </w:pPr>
    </w:p>
    <w:p w14:paraId="460CFD5B" w14:textId="77777777" w:rsidR="00AF51F1" w:rsidRDefault="00711D3C">
      <w:pPr>
        <w:pStyle w:val="09-Bodytext"/>
      </w:pPr>
      <w:r>
        <w:t>The Board is required to disclose material transactions with related parties.  During the year transactions arose with the following related parties:</w:t>
      </w:r>
    </w:p>
    <w:p w14:paraId="7B6056C3" w14:textId="77777777" w:rsidR="00AF51F1" w:rsidRDefault="00AF51F1">
      <w:pPr>
        <w:pStyle w:val="09-Bodytext"/>
        <w:rPr>
          <w:shd w:val="clear" w:color="auto" w:fill="FFFF00"/>
        </w:rPr>
      </w:pPr>
    </w:p>
    <w:tbl>
      <w:tblPr>
        <w:tblW w:w="5000" w:type="pct"/>
        <w:tblCellMar>
          <w:left w:w="10" w:type="dxa"/>
          <w:right w:w="10" w:type="dxa"/>
        </w:tblCellMar>
        <w:tblLook w:val="0000" w:firstRow="0" w:lastRow="0" w:firstColumn="0" w:lastColumn="0" w:noHBand="0" w:noVBand="0"/>
      </w:tblPr>
      <w:tblGrid>
        <w:gridCol w:w="3322"/>
        <w:gridCol w:w="1528"/>
        <w:gridCol w:w="1389"/>
        <w:gridCol w:w="1389"/>
        <w:gridCol w:w="1388"/>
      </w:tblGrid>
      <w:tr w:rsidR="00AF51F1" w14:paraId="7E6C3005" w14:textId="77777777">
        <w:tc>
          <w:tcPr>
            <w:tcW w:w="3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D6B5B" w14:textId="77777777" w:rsidR="00AF51F1" w:rsidRDefault="00AF51F1">
            <w:pPr>
              <w:pStyle w:val="09-Bodytext"/>
            </w:pP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C46EA" w14:textId="77777777" w:rsidR="00AF51F1" w:rsidRDefault="00711D3C">
            <w:pPr>
              <w:pStyle w:val="09-Bodytext"/>
              <w:jc w:val="right"/>
              <w:rPr>
                <w:b/>
                <w:bCs/>
              </w:rPr>
            </w:pPr>
            <w:r>
              <w:rPr>
                <w:b/>
                <w:bCs/>
              </w:rPr>
              <w:t>2021/22</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97C6F" w14:textId="77777777" w:rsidR="00AF51F1" w:rsidRDefault="00711D3C">
            <w:pPr>
              <w:pStyle w:val="09-Bodytext"/>
              <w:jc w:val="right"/>
              <w:rPr>
                <w:b/>
                <w:bCs/>
              </w:rPr>
            </w:pPr>
            <w:r>
              <w:rPr>
                <w:b/>
                <w:bCs/>
              </w:rPr>
              <w:t>2021/22</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7B114" w14:textId="77777777" w:rsidR="00AF51F1" w:rsidRDefault="00711D3C">
            <w:pPr>
              <w:pStyle w:val="09-Bodytext"/>
              <w:jc w:val="right"/>
              <w:rPr>
                <w:b/>
                <w:bCs/>
              </w:rPr>
            </w:pPr>
            <w:r>
              <w:rPr>
                <w:b/>
                <w:bCs/>
              </w:rPr>
              <w:t>2020/21</w:t>
            </w: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0FE64" w14:textId="77777777" w:rsidR="00AF51F1" w:rsidRDefault="00711D3C">
            <w:pPr>
              <w:pStyle w:val="09-Bodytext"/>
              <w:jc w:val="right"/>
              <w:rPr>
                <w:b/>
                <w:bCs/>
              </w:rPr>
            </w:pPr>
            <w:r>
              <w:rPr>
                <w:b/>
                <w:bCs/>
              </w:rPr>
              <w:t>2020/21</w:t>
            </w:r>
          </w:p>
        </w:tc>
      </w:tr>
      <w:tr w:rsidR="00AF51F1" w14:paraId="0D444C88" w14:textId="77777777">
        <w:tc>
          <w:tcPr>
            <w:tcW w:w="3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B2D06" w14:textId="77777777" w:rsidR="00AF51F1" w:rsidRDefault="00AF51F1">
            <w:pPr>
              <w:pStyle w:val="09-Bodytext"/>
            </w:pP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B06BC" w14:textId="77777777" w:rsidR="00AF51F1" w:rsidRDefault="00711D3C">
            <w:pPr>
              <w:pStyle w:val="09-Bodytext"/>
              <w:jc w:val="right"/>
              <w:rPr>
                <w:b/>
                <w:bCs/>
              </w:rPr>
            </w:pPr>
            <w:r>
              <w:rPr>
                <w:b/>
                <w:bCs/>
              </w:rPr>
              <w:t>Receipts</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E460B" w14:textId="77777777" w:rsidR="00AF51F1" w:rsidRDefault="00711D3C">
            <w:pPr>
              <w:pStyle w:val="09-Bodytext"/>
              <w:jc w:val="right"/>
              <w:rPr>
                <w:b/>
                <w:bCs/>
              </w:rPr>
            </w:pPr>
            <w:r>
              <w:rPr>
                <w:b/>
                <w:bCs/>
              </w:rPr>
              <w:t>Payments</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1F5A1" w14:textId="77777777" w:rsidR="00AF51F1" w:rsidRDefault="00711D3C">
            <w:pPr>
              <w:pStyle w:val="09-Bodytext"/>
              <w:jc w:val="right"/>
              <w:rPr>
                <w:b/>
                <w:bCs/>
              </w:rPr>
            </w:pPr>
            <w:r>
              <w:rPr>
                <w:b/>
                <w:bCs/>
              </w:rPr>
              <w:t>Receipts</w:t>
            </w: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8EEF7" w14:textId="77777777" w:rsidR="00AF51F1" w:rsidRDefault="00711D3C">
            <w:pPr>
              <w:pStyle w:val="09-Bodytext"/>
              <w:jc w:val="right"/>
              <w:rPr>
                <w:b/>
                <w:bCs/>
              </w:rPr>
            </w:pPr>
            <w:r>
              <w:rPr>
                <w:b/>
                <w:bCs/>
              </w:rPr>
              <w:t>Payments</w:t>
            </w:r>
          </w:p>
        </w:tc>
      </w:tr>
      <w:tr w:rsidR="00AF51F1" w14:paraId="0CA422EF" w14:textId="77777777">
        <w:tc>
          <w:tcPr>
            <w:tcW w:w="3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8A5DF" w14:textId="77777777" w:rsidR="00AF51F1" w:rsidRDefault="00AF51F1">
            <w:pPr>
              <w:pStyle w:val="09-Bodytext"/>
            </w:pP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012C8" w14:textId="77777777" w:rsidR="00AF51F1" w:rsidRDefault="00711D3C">
            <w:pPr>
              <w:pStyle w:val="09-Bodytext"/>
              <w:jc w:val="right"/>
              <w:rPr>
                <w:b/>
                <w:bCs/>
              </w:rPr>
            </w:pPr>
            <w:r>
              <w:rPr>
                <w:b/>
                <w:bCs/>
              </w:rPr>
              <w:t>£000</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D7A63" w14:textId="77777777" w:rsidR="00AF51F1" w:rsidRDefault="00711D3C">
            <w:pPr>
              <w:pStyle w:val="09-Bodytext"/>
              <w:jc w:val="right"/>
              <w:rPr>
                <w:b/>
                <w:bCs/>
              </w:rPr>
            </w:pPr>
            <w:r>
              <w:rPr>
                <w:b/>
                <w:bCs/>
              </w:rPr>
              <w:t>£000</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D3234" w14:textId="77777777" w:rsidR="00AF51F1" w:rsidRDefault="00711D3C">
            <w:pPr>
              <w:pStyle w:val="09-Bodytext"/>
              <w:jc w:val="right"/>
              <w:rPr>
                <w:b/>
                <w:bCs/>
              </w:rPr>
            </w:pPr>
            <w:r>
              <w:rPr>
                <w:b/>
                <w:bCs/>
              </w:rPr>
              <w:t>£000</w:t>
            </w: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BFA0A" w14:textId="77777777" w:rsidR="00AF51F1" w:rsidRDefault="00711D3C">
            <w:pPr>
              <w:pStyle w:val="09-Bodytext"/>
              <w:jc w:val="right"/>
              <w:rPr>
                <w:b/>
                <w:bCs/>
              </w:rPr>
            </w:pPr>
            <w:r>
              <w:rPr>
                <w:b/>
                <w:bCs/>
              </w:rPr>
              <w:t>£000</w:t>
            </w:r>
          </w:p>
        </w:tc>
      </w:tr>
      <w:tr w:rsidR="00AF51F1" w14:paraId="7DCD0573" w14:textId="77777777">
        <w:tc>
          <w:tcPr>
            <w:tcW w:w="3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CE160" w14:textId="77777777" w:rsidR="00AF51F1" w:rsidRDefault="00711D3C">
            <w:pPr>
              <w:pStyle w:val="09-Bodytext"/>
            </w:pPr>
            <w:r>
              <w:t>South Lanarkshire Council</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EDC58" w14:textId="77777777" w:rsidR="00AF51F1" w:rsidRDefault="00711D3C">
            <w:pPr>
              <w:pStyle w:val="09-Bodytext"/>
              <w:jc w:val="right"/>
            </w:pPr>
            <w:r>
              <w:t>2,265</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7E5D9" w14:textId="77777777" w:rsidR="00AF51F1" w:rsidRDefault="00711D3C">
            <w:pPr>
              <w:pStyle w:val="09-Bodytext"/>
              <w:jc w:val="right"/>
            </w:pPr>
            <w:r>
              <w:t>371</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9936C" w14:textId="77777777" w:rsidR="00AF51F1" w:rsidRDefault="00711D3C">
            <w:pPr>
              <w:pStyle w:val="09-Bodytext"/>
              <w:jc w:val="right"/>
            </w:pPr>
            <w:r>
              <w:t>2,208</w:t>
            </w: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944B1" w14:textId="77777777" w:rsidR="00AF51F1" w:rsidRDefault="00711D3C">
            <w:pPr>
              <w:pStyle w:val="09-Bodytext"/>
              <w:jc w:val="right"/>
            </w:pPr>
            <w:r>
              <w:t>684</w:t>
            </w:r>
          </w:p>
        </w:tc>
      </w:tr>
      <w:tr w:rsidR="00AF51F1" w14:paraId="0D49D03B" w14:textId="77777777">
        <w:tc>
          <w:tcPr>
            <w:tcW w:w="3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71419" w14:textId="77777777" w:rsidR="00AF51F1" w:rsidRDefault="00711D3C">
            <w:pPr>
              <w:pStyle w:val="09-Bodytext"/>
            </w:pPr>
            <w:r>
              <w:t>North Lanarkshire Council</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ADEB8" w14:textId="77777777" w:rsidR="00AF51F1" w:rsidRDefault="00711D3C">
            <w:pPr>
              <w:pStyle w:val="09-Bodytext"/>
              <w:jc w:val="right"/>
            </w:pPr>
            <w:r>
              <w:t>2,106</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F184D" w14:textId="77777777" w:rsidR="00AF51F1" w:rsidRDefault="00711D3C">
            <w:pPr>
              <w:pStyle w:val="09-Bodytext"/>
              <w:jc w:val="right"/>
            </w:pPr>
            <w:r>
              <w:t>6</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42B8D" w14:textId="77777777" w:rsidR="00AF51F1" w:rsidRDefault="00711D3C">
            <w:pPr>
              <w:pStyle w:val="09-Bodytext"/>
              <w:jc w:val="right"/>
            </w:pPr>
            <w:r>
              <w:t>2,195</w:t>
            </w: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77113" w14:textId="77777777" w:rsidR="00AF51F1" w:rsidRDefault="00711D3C">
            <w:pPr>
              <w:pStyle w:val="09-Bodytext"/>
              <w:jc w:val="right"/>
            </w:pPr>
            <w:r>
              <w:t>5</w:t>
            </w:r>
          </w:p>
        </w:tc>
      </w:tr>
      <w:tr w:rsidR="00AF51F1" w14:paraId="2F5F23BA" w14:textId="77777777">
        <w:tc>
          <w:tcPr>
            <w:tcW w:w="3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6113E" w14:textId="77777777" w:rsidR="00AF51F1" w:rsidRDefault="00711D3C">
            <w:pPr>
              <w:pStyle w:val="09-Bodytext"/>
              <w:rPr>
                <w:bCs/>
              </w:rPr>
            </w:pPr>
            <w:r>
              <w:rPr>
                <w:bCs/>
              </w:rPr>
              <w:t>Fife Council</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05F00" w14:textId="77777777" w:rsidR="00AF51F1" w:rsidRDefault="00711D3C">
            <w:pPr>
              <w:pStyle w:val="09-Bodytext"/>
              <w:jc w:val="right"/>
              <w:rPr>
                <w:bCs/>
              </w:rPr>
            </w:pPr>
            <w:r>
              <w:rPr>
                <w:bCs/>
              </w:rPr>
              <w:t>-</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956EB" w14:textId="77777777" w:rsidR="00AF51F1" w:rsidRDefault="00711D3C">
            <w:pPr>
              <w:pStyle w:val="09-Bodytext"/>
              <w:jc w:val="right"/>
              <w:rPr>
                <w:bCs/>
              </w:rPr>
            </w:pPr>
            <w:r>
              <w:rPr>
                <w:bCs/>
              </w:rPr>
              <w:t>1</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85FFE" w14:textId="77777777" w:rsidR="00AF51F1" w:rsidRDefault="00711D3C">
            <w:pPr>
              <w:pStyle w:val="09-Bodytext"/>
              <w:jc w:val="right"/>
              <w:rPr>
                <w:bCs/>
              </w:rPr>
            </w:pPr>
            <w:r>
              <w:rPr>
                <w:bCs/>
              </w:rPr>
              <w:t>0</w:t>
            </w: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77F66" w14:textId="77777777" w:rsidR="00AF51F1" w:rsidRDefault="00711D3C">
            <w:pPr>
              <w:pStyle w:val="09-Bodytext"/>
              <w:jc w:val="right"/>
              <w:rPr>
                <w:bCs/>
              </w:rPr>
            </w:pPr>
            <w:r>
              <w:rPr>
                <w:bCs/>
              </w:rPr>
              <w:t>0</w:t>
            </w:r>
          </w:p>
        </w:tc>
      </w:tr>
      <w:tr w:rsidR="00AF51F1" w14:paraId="4739F574" w14:textId="77777777">
        <w:tc>
          <w:tcPr>
            <w:tcW w:w="3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A6ED5" w14:textId="77777777" w:rsidR="00AF51F1" w:rsidRDefault="00711D3C">
            <w:pPr>
              <w:pStyle w:val="09-Bodytext"/>
            </w:pPr>
            <w:r>
              <w:rPr>
                <w:b/>
                <w:bCs/>
              </w:rPr>
              <w:t>Total</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AE089" w14:textId="77777777" w:rsidR="00AF51F1" w:rsidRDefault="00711D3C">
            <w:pPr>
              <w:pStyle w:val="09-Bodytext"/>
              <w:jc w:val="right"/>
              <w:rPr>
                <w:b/>
                <w:bCs/>
              </w:rPr>
            </w:pPr>
            <w:r>
              <w:rPr>
                <w:b/>
                <w:bCs/>
              </w:rPr>
              <w:t>4,371</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4A4B0" w14:textId="77777777" w:rsidR="00AF51F1" w:rsidRDefault="00711D3C">
            <w:pPr>
              <w:pStyle w:val="09-Bodytext"/>
              <w:jc w:val="right"/>
              <w:rPr>
                <w:b/>
                <w:bCs/>
              </w:rPr>
            </w:pPr>
            <w:r>
              <w:rPr>
                <w:b/>
                <w:bCs/>
              </w:rPr>
              <w:t>378</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EC143" w14:textId="77777777" w:rsidR="00AF51F1" w:rsidRDefault="00711D3C">
            <w:pPr>
              <w:pStyle w:val="09-Bodytext"/>
              <w:jc w:val="right"/>
              <w:rPr>
                <w:b/>
                <w:bCs/>
              </w:rPr>
            </w:pPr>
            <w:r>
              <w:rPr>
                <w:b/>
                <w:bCs/>
              </w:rPr>
              <w:t>4,403</w:t>
            </w: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91290" w14:textId="77777777" w:rsidR="00AF51F1" w:rsidRDefault="00711D3C">
            <w:pPr>
              <w:pStyle w:val="09-Bodytext"/>
              <w:jc w:val="right"/>
              <w:rPr>
                <w:b/>
                <w:bCs/>
              </w:rPr>
            </w:pPr>
            <w:r>
              <w:rPr>
                <w:b/>
                <w:bCs/>
              </w:rPr>
              <w:t>689</w:t>
            </w:r>
          </w:p>
        </w:tc>
      </w:tr>
    </w:tbl>
    <w:p w14:paraId="158A4680" w14:textId="77777777" w:rsidR="00AF51F1" w:rsidRDefault="00AF51F1">
      <w:pPr>
        <w:pStyle w:val="09-Bodytext"/>
        <w:rPr>
          <w:shd w:val="clear" w:color="auto" w:fill="FFFF00"/>
        </w:rPr>
      </w:pPr>
    </w:p>
    <w:p w14:paraId="74BF4A6E" w14:textId="77777777" w:rsidR="00AF51F1" w:rsidRDefault="00711D3C">
      <w:pPr>
        <w:pStyle w:val="09-Bodytext"/>
      </w:pPr>
      <w:r>
        <w:t>The Board occupied the premises at David Dale House, 45 John Street, Blantyre, G72 0JG during 2021/22, and are recharged for the cost of accommodation by South Lanarkshire Council.  Included within payments to South Lanarkshire Council is a charge of £0.201m for the lease of office accommodation at David Dale House (2020/21: £0.318m for the annual rental of office accommodation at Hamilton Academical’s Football Stadium).</w:t>
      </w:r>
    </w:p>
    <w:p w14:paraId="6997450F" w14:textId="77777777" w:rsidR="00AF51F1" w:rsidRDefault="00AF51F1">
      <w:pPr>
        <w:pStyle w:val="09-Bodytext"/>
      </w:pPr>
    </w:p>
    <w:p w14:paraId="6B414E40" w14:textId="77777777" w:rsidR="00AF51F1" w:rsidRPr="00CA2E48" w:rsidRDefault="00711D3C" w:rsidP="00CA2E48">
      <w:pPr>
        <w:pStyle w:val="Heading3"/>
        <w:rPr>
          <w:rFonts w:ascii="Arial" w:eastAsia="Times New Roman" w:hAnsi="Arial" w:cs="Times New Roman"/>
          <w:b/>
          <w:bCs/>
          <w:color w:val="auto"/>
          <w:sz w:val="22"/>
          <w:szCs w:val="20"/>
        </w:rPr>
      </w:pPr>
      <w:r w:rsidRPr="00CA2E48">
        <w:rPr>
          <w:rFonts w:ascii="Arial" w:eastAsia="Times New Roman" w:hAnsi="Arial" w:cs="Times New Roman"/>
          <w:b/>
          <w:bCs/>
          <w:color w:val="auto"/>
          <w:sz w:val="22"/>
          <w:szCs w:val="20"/>
        </w:rPr>
        <w:t xml:space="preserve">Note 16:  Defined Benefit Pension Schemes </w:t>
      </w:r>
    </w:p>
    <w:p w14:paraId="4363EC7A" w14:textId="77777777" w:rsidR="00AF51F1" w:rsidRDefault="00AF51F1">
      <w:pPr>
        <w:pStyle w:val="09-Bodytext"/>
      </w:pPr>
    </w:p>
    <w:p w14:paraId="6B73EEA4" w14:textId="77777777" w:rsidR="00AF51F1" w:rsidRDefault="00711D3C">
      <w:pPr>
        <w:pStyle w:val="09-Bodytext"/>
      </w:pPr>
      <w:r>
        <w:t>As part of the terms and conditions of employment, the Board offers retirement benefits.  The Board participates in the Local Government Pension Scheme (Strathclyde Pension Fund), a funded defined benefit scheme, administered by Glasgow City Council.  The scheme is supported by contributions from both employer and employees.</w:t>
      </w:r>
    </w:p>
    <w:p w14:paraId="5997001D" w14:textId="77777777" w:rsidR="00AF51F1" w:rsidRDefault="00AF51F1">
      <w:pPr>
        <w:pStyle w:val="09-Bodytext"/>
      </w:pPr>
    </w:p>
    <w:p w14:paraId="10EC402A" w14:textId="77777777" w:rsidR="00AF51F1" w:rsidRDefault="00711D3C">
      <w:pPr>
        <w:pStyle w:val="09-Bodytext"/>
        <w:rPr>
          <w:b/>
          <w:bCs/>
        </w:rPr>
      </w:pPr>
      <w:r>
        <w:rPr>
          <w:b/>
          <w:bCs/>
        </w:rPr>
        <w:t>Transactions relating to Retirement Benefits</w:t>
      </w:r>
    </w:p>
    <w:p w14:paraId="526646C0" w14:textId="77777777" w:rsidR="00AF51F1" w:rsidRDefault="00AF51F1">
      <w:pPr>
        <w:pStyle w:val="09-Bodytext"/>
      </w:pPr>
    </w:p>
    <w:p w14:paraId="38B51622" w14:textId="77777777" w:rsidR="00AF51F1" w:rsidRDefault="00711D3C">
      <w:pPr>
        <w:pStyle w:val="09-Bodytext"/>
      </w:pPr>
      <w:r>
        <w:t>The cost of retirement benefit is recognised in the reported cost of services when it is earned by the Board’s employees, rather than when the benefits are eventually paid as pensions.  However, the charge that is statutorily required to be made against the Board’s funding from councils is based on the pension contributions payable by the Board in the year, and an adjustment is made in the Movement in Reserves Statement to this effect.</w:t>
      </w:r>
    </w:p>
    <w:p w14:paraId="161EDCC9" w14:textId="77777777" w:rsidR="00AF51F1" w:rsidRDefault="00AF51F1">
      <w:pPr>
        <w:pStyle w:val="09-Bodytext"/>
      </w:pPr>
    </w:p>
    <w:p w14:paraId="3908DAF8" w14:textId="77777777" w:rsidR="00AF51F1" w:rsidRDefault="00711D3C">
      <w:pPr>
        <w:pStyle w:val="09-Bodytext"/>
      </w:pPr>
      <w:r>
        <w:t>The following transactions have been made in the Comprehensive Income and Expenditure Statement.</w:t>
      </w:r>
    </w:p>
    <w:p w14:paraId="23C52EAB" w14:textId="77777777" w:rsidR="00AF51F1" w:rsidRDefault="00AF51F1">
      <w:pPr>
        <w:pStyle w:val="09-Bodytext"/>
        <w:pageBreakBefore/>
      </w:pPr>
    </w:p>
    <w:tbl>
      <w:tblPr>
        <w:tblW w:w="5000" w:type="pct"/>
        <w:tblCellMar>
          <w:left w:w="10" w:type="dxa"/>
          <w:right w:w="10" w:type="dxa"/>
        </w:tblCellMar>
        <w:tblLook w:val="0000" w:firstRow="0" w:lastRow="0" w:firstColumn="0" w:lastColumn="0" w:noHBand="0" w:noVBand="0"/>
      </w:tblPr>
      <w:tblGrid>
        <w:gridCol w:w="6663"/>
        <w:gridCol w:w="1307"/>
        <w:gridCol w:w="1046"/>
      </w:tblGrid>
      <w:tr w:rsidR="00AF51F1" w14:paraId="4776E507" w14:textId="77777777">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C100A" w14:textId="77777777" w:rsidR="00AF51F1" w:rsidRDefault="00711D3C">
            <w:pPr>
              <w:pStyle w:val="09-Bodytext"/>
              <w:rPr>
                <w:b/>
                <w:bCs/>
              </w:rPr>
            </w:pPr>
            <w:r>
              <w:rPr>
                <w:b/>
                <w:bCs/>
              </w:rPr>
              <w:t>Comprehensive Income and Expenditure Statement</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03922" w14:textId="77777777" w:rsidR="00AF51F1" w:rsidRDefault="00711D3C">
            <w:pPr>
              <w:pStyle w:val="09-Bodytext"/>
              <w:jc w:val="right"/>
              <w:rPr>
                <w:b/>
                <w:bCs/>
              </w:rPr>
            </w:pPr>
            <w:r>
              <w:rPr>
                <w:b/>
                <w:bCs/>
              </w:rPr>
              <w:t>2021/22</w:t>
            </w:r>
          </w:p>
        </w:tc>
        <w:tc>
          <w:tcPr>
            <w:tcW w:w="1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C9D9B" w14:textId="77777777" w:rsidR="00AF51F1" w:rsidRDefault="00711D3C">
            <w:pPr>
              <w:pStyle w:val="09-Bodytext"/>
              <w:jc w:val="right"/>
              <w:rPr>
                <w:b/>
                <w:bCs/>
              </w:rPr>
            </w:pPr>
            <w:r>
              <w:rPr>
                <w:b/>
                <w:bCs/>
              </w:rPr>
              <w:t>2020/21</w:t>
            </w:r>
          </w:p>
        </w:tc>
      </w:tr>
      <w:tr w:rsidR="00AF51F1" w14:paraId="06E841C8" w14:textId="77777777">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D0D58" w14:textId="77777777" w:rsidR="00AF51F1" w:rsidRDefault="00AF51F1">
            <w:pPr>
              <w:pStyle w:val="09-Bodytext"/>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5C49B" w14:textId="77777777" w:rsidR="00AF51F1" w:rsidRDefault="00711D3C">
            <w:pPr>
              <w:pStyle w:val="09-Bodytext"/>
              <w:jc w:val="right"/>
              <w:rPr>
                <w:b/>
                <w:bCs/>
              </w:rPr>
            </w:pPr>
            <w:r>
              <w:rPr>
                <w:b/>
                <w:bCs/>
              </w:rPr>
              <w:t>£000</w:t>
            </w:r>
          </w:p>
        </w:tc>
        <w:tc>
          <w:tcPr>
            <w:tcW w:w="1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44DC4" w14:textId="77777777" w:rsidR="00AF51F1" w:rsidRDefault="00711D3C">
            <w:pPr>
              <w:pStyle w:val="09-Bodytext"/>
              <w:jc w:val="right"/>
              <w:rPr>
                <w:b/>
                <w:bCs/>
              </w:rPr>
            </w:pPr>
            <w:r>
              <w:rPr>
                <w:b/>
                <w:bCs/>
              </w:rPr>
              <w:t>£000</w:t>
            </w:r>
          </w:p>
        </w:tc>
      </w:tr>
      <w:tr w:rsidR="00AF51F1" w14:paraId="7224925E" w14:textId="77777777">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04696" w14:textId="77777777" w:rsidR="00AF51F1" w:rsidRDefault="00711D3C">
            <w:pPr>
              <w:pStyle w:val="09-Bodytext"/>
            </w:pPr>
            <w:r>
              <w:t>Cost of Services:</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0B36C" w14:textId="77777777" w:rsidR="00AF51F1" w:rsidRDefault="00AF51F1">
            <w:pPr>
              <w:pStyle w:val="09-Bodytext"/>
              <w:jc w:val="right"/>
            </w:pPr>
          </w:p>
        </w:tc>
        <w:tc>
          <w:tcPr>
            <w:tcW w:w="1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00249" w14:textId="77777777" w:rsidR="00AF51F1" w:rsidRDefault="00AF51F1">
            <w:pPr>
              <w:pStyle w:val="09-Bodytext"/>
              <w:jc w:val="right"/>
            </w:pPr>
          </w:p>
        </w:tc>
      </w:tr>
      <w:tr w:rsidR="00AF51F1" w14:paraId="20A92B5C" w14:textId="77777777">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016EA" w14:textId="77777777" w:rsidR="00AF51F1" w:rsidRDefault="00711D3C">
            <w:pPr>
              <w:pStyle w:val="09-Bodytext"/>
            </w:pPr>
            <w:r>
              <w:t>Service cost comprising:</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BBEBE" w14:textId="77777777" w:rsidR="00AF51F1" w:rsidRDefault="00AF51F1">
            <w:pPr>
              <w:pStyle w:val="09-Bodytext"/>
              <w:jc w:val="right"/>
            </w:pPr>
          </w:p>
        </w:tc>
        <w:tc>
          <w:tcPr>
            <w:tcW w:w="1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1272F" w14:textId="77777777" w:rsidR="00AF51F1" w:rsidRDefault="00AF51F1">
            <w:pPr>
              <w:pStyle w:val="09-Bodytext"/>
              <w:jc w:val="right"/>
            </w:pPr>
          </w:p>
        </w:tc>
      </w:tr>
      <w:tr w:rsidR="00AF51F1" w14:paraId="4CCA7D95" w14:textId="77777777">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11E4C" w14:textId="77777777" w:rsidR="00AF51F1" w:rsidRDefault="00711D3C">
            <w:pPr>
              <w:pStyle w:val="09-Bodytext"/>
            </w:pPr>
            <w:r>
              <w:t>Current service cost</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41418" w14:textId="77777777" w:rsidR="00AF51F1" w:rsidRDefault="00711D3C">
            <w:pPr>
              <w:pStyle w:val="09-Bodytext"/>
              <w:jc w:val="right"/>
            </w:pPr>
            <w:r>
              <w:t>1,109</w:t>
            </w:r>
          </w:p>
        </w:tc>
        <w:tc>
          <w:tcPr>
            <w:tcW w:w="1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37EF6" w14:textId="77777777" w:rsidR="00AF51F1" w:rsidRDefault="00711D3C">
            <w:pPr>
              <w:pStyle w:val="09-Bodytext"/>
              <w:jc w:val="right"/>
            </w:pPr>
            <w:r>
              <w:t>749</w:t>
            </w:r>
          </w:p>
        </w:tc>
      </w:tr>
      <w:tr w:rsidR="00AF51F1" w14:paraId="1CE4FDD7" w14:textId="77777777">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096BF" w14:textId="77777777" w:rsidR="00AF51F1" w:rsidRDefault="00711D3C">
            <w:pPr>
              <w:pStyle w:val="09-Bodytext"/>
            </w:pPr>
            <w:r>
              <w:t>Past Service Cost (including curtailments)</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3DA27" w14:textId="77777777" w:rsidR="00AF51F1" w:rsidRDefault="00711D3C">
            <w:pPr>
              <w:pStyle w:val="09-Bodytext"/>
              <w:jc w:val="right"/>
            </w:pPr>
            <w:r>
              <w:t>0</w:t>
            </w:r>
          </w:p>
        </w:tc>
        <w:tc>
          <w:tcPr>
            <w:tcW w:w="1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4EFEC" w14:textId="77777777" w:rsidR="00AF51F1" w:rsidRDefault="00711D3C">
            <w:pPr>
              <w:pStyle w:val="09-Bodytext"/>
              <w:jc w:val="right"/>
            </w:pPr>
            <w:r>
              <w:t>0</w:t>
            </w:r>
          </w:p>
        </w:tc>
      </w:tr>
      <w:tr w:rsidR="00AF51F1" w14:paraId="5BA410FB" w14:textId="77777777">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AD110" w14:textId="77777777" w:rsidR="00AF51F1" w:rsidRDefault="00711D3C">
            <w:pPr>
              <w:pStyle w:val="09-Bodytext"/>
            </w:pPr>
            <w:r>
              <w:t>Financing and Investment Income and Expenditure</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30FE2" w14:textId="77777777" w:rsidR="00AF51F1" w:rsidRDefault="00AF51F1">
            <w:pPr>
              <w:pStyle w:val="09-Bodytext"/>
              <w:jc w:val="right"/>
            </w:pPr>
          </w:p>
        </w:tc>
        <w:tc>
          <w:tcPr>
            <w:tcW w:w="1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50600" w14:textId="77777777" w:rsidR="00AF51F1" w:rsidRDefault="00AF51F1">
            <w:pPr>
              <w:pStyle w:val="09-Bodytext"/>
              <w:jc w:val="right"/>
            </w:pPr>
          </w:p>
        </w:tc>
      </w:tr>
      <w:tr w:rsidR="00AF51F1" w14:paraId="276CD965" w14:textId="77777777">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C4500" w14:textId="77777777" w:rsidR="00AF51F1" w:rsidRDefault="00711D3C">
            <w:pPr>
              <w:pStyle w:val="09-Bodytext"/>
            </w:pPr>
            <w:r>
              <w:t>Net interest expense</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FE657" w14:textId="77777777" w:rsidR="00AF51F1" w:rsidRDefault="00711D3C">
            <w:pPr>
              <w:pStyle w:val="09-Bodytext"/>
              <w:jc w:val="right"/>
            </w:pPr>
            <w:r>
              <w:t>51</w:t>
            </w:r>
          </w:p>
        </w:tc>
        <w:tc>
          <w:tcPr>
            <w:tcW w:w="1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49389" w14:textId="77777777" w:rsidR="00AF51F1" w:rsidRDefault="00711D3C">
            <w:pPr>
              <w:pStyle w:val="09-Bodytext"/>
              <w:jc w:val="right"/>
            </w:pPr>
            <w:r>
              <w:t>30</w:t>
            </w:r>
          </w:p>
        </w:tc>
      </w:tr>
      <w:tr w:rsidR="00AF51F1" w14:paraId="63174CB6" w14:textId="77777777">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CBD61" w14:textId="77777777" w:rsidR="00AF51F1" w:rsidRDefault="00711D3C">
            <w:pPr>
              <w:pStyle w:val="09-Bodytext"/>
              <w:rPr>
                <w:b/>
                <w:bCs/>
              </w:rPr>
            </w:pPr>
            <w:r>
              <w:rPr>
                <w:b/>
                <w:bCs/>
              </w:rPr>
              <w:t>Total post-employment benefit charged to the Deficit on the Provision of Services</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9E2DE" w14:textId="77777777" w:rsidR="00AF51F1" w:rsidRDefault="00711D3C">
            <w:pPr>
              <w:pStyle w:val="09-Bodytext"/>
              <w:jc w:val="right"/>
              <w:rPr>
                <w:b/>
                <w:bCs/>
              </w:rPr>
            </w:pPr>
            <w:r>
              <w:rPr>
                <w:b/>
                <w:bCs/>
              </w:rPr>
              <w:t>1,160</w:t>
            </w:r>
          </w:p>
        </w:tc>
        <w:tc>
          <w:tcPr>
            <w:tcW w:w="1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13412" w14:textId="77777777" w:rsidR="00AF51F1" w:rsidRDefault="00711D3C">
            <w:pPr>
              <w:pStyle w:val="09-Bodytext"/>
              <w:jc w:val="right"/>
              <w:rPr>
                <w:b/>
                <w:bCs/>
              </w:rPr>
            </w:pPr>
            <w:r>
              <w:rPr>
                <w:b/>
                <w:bCs/>
              </w:rPr>
              <w:t>779</w:t>
            </w:r>
          </w:p>
        </w:tc>
      </w:tr>
      <w:tr w:rsidR="00AF51F1" w14:paraId="763DA13F" w14:textId="77777777">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6C879" w14:textId="77777777" w:rsidR="00AF51F1" w:rsidRDefault="00AF51F1">
            <w:pPr>
              <w:pStyle w:val="09-Bodytext"/>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58215" w14:textId="77777777" w:rsidR="00AF51F1" w:rsidRDefault="00AF51F1">
            <w:pPr>
              <w:pStyle w:val="09-Bodytext"/>
              <w:jc w:val="right"/>
            </w:pPr>
          </w:p>
        </w:tc>
        <w:tc>
          <w:tcPr>
            <w:tcW w:w="1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C14FB" w14:textId="77777777" w:rsidR="00AF51F1" w:rsidRDefault="00AF51F1">
            <w:pPr>
              <w:pStyle w:val="09-Bodytext"/>
              <w:jc w:val="right"/>
            </w:pPr>
          </w:p>
        </w:tc>
      </w:tr>
      <w:tr w:rsidR="00AF51F1" w14:paraId="6724D571" w14:textId="77777777">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FD357" w14:textId="77777777" w:rsidR="00AF51F1" w:rsidRDefault="00711D3C">
            <w:pPr>
              <w:pStyle w:val="09-Bodytext"/>
            </w:pPr>
            <w:r>
              <w:t>Other Post Employment Benefit Charged to the Comprehensive Income and Expenditure Statement:</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B8859" w14:textId="77777777" w:rsidR="00AF51F1" w:rsidRDefault="00AF51F1">
            <w:pPr>
              <w:pStyle w:val="09-Bodytext"/>
              <w:jc w:val="right"/>
            </w:pPr>
          </w:p>
        </w:tc>
        <w:tc>
          <w:tcPr>
            <w:tcW w:w="1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A8CB5" w14:textId="77777777" w:rsidR="00AF51F1" w:rsidRDefault="00AF51F1">
            <w:pPr>
              <w:pStyle w:val="09-Bodytext"/>
              <w:jc w:val="right"/>
            </w:pPr>
          </w:p>
        </w:tc>
      </w:tr>
      <w:tr w:rsidR="00AF51F1" w14:paraId="59152934" w14:textId="77777777">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D3A27" w14:textId="77777777" w:rsidR="00AF51F1" w:rsidRDefault="00711D3C">
            <w:pPr>
              <w:pStyle w:val="09-Bodytext"/>
            </w:pPr>
            <w:r>
              <w:t>Re-measurement of the net defined benefit liability/(asset) comprising:</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CA56F" w14:textId="77777777" w:rsidR="00AF51F1" w:rsidRDefault="00AF51F1">
            <w:pPr>
              <w:pStyle w:val="09-Bodytext"/>
              <w:jc w:val="right"/>
            </w:pPr>
          </w:p>
        </w:tc>
        <w:tc>
          <w:tcPr>
            <w:tcW w:w="1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3872A" w14:textId="77777777" w:rsidR="00AF51F1" w:rsidRDefault="00AF51F1">
            <w:pPr>
              <w:pStyle w:val="09-Bodytext"/>
              <w:jc w:val="right"/>
            </w:pPr>
          </w:p>
        </w:tc>
      </w:tr>
      <w:tr w:rsidR="00AF51F1" w14:paraId="66CD3C29" w14:textId="77777777">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A8CA8" w14:textId="77777777" w:rsidR="00AF51F1" w:rsidRDefault="00711D3C">
            <w:pPr>
              <w:pStyle w:val="09-Bodytext"/>
              <w:numPr>
                <w:ilvl w:val="0"/>
                <w:numId w:val="17"/>
              </w:numPr>
            </w:pPr>
            <w:r>
              <w:t>return on pension fund assets</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2B790" w14:textId="77777777" w:rsidR="00AF51F1" w:rsidRDefault="00711D3C">
            <w:pPr>
              <w:pStyle w:val="09-Bodytext"/>
              <w:jc w:val="right"/>
            </w:pPr>
            <w:r>
              <w:t>1,732</w:t>
            </w:r>
          </w:p>
        </w:tc>
        <w:tc>
          <w:tcPr>
            <w:tcW w:w="1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8E16F" w14:textId="77777777" w:rsidR="00AF51F1" w:rsidRDefault="00711D3C">
            <w:pPr>
              <w:pStyle w:val="09-Bodytext"/>
              <w:jc w:val="right"/>
            </w:pPr>
            <w:r>
              <w:t>5,759</w:t>
            </w:r>
          </w:p>
        </w:tc>
      </w:tr>
      <w:tr w:rsidR="00AF51F1" w14:paraId="534186BF" w14:textId="77777777">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9CCC1" w14:textId="77777777" w:rsidR="00AF51F1" w:rsidRDefault="00711D3C">
            <w:pPr>
              <w:pStyle w:val="09-Bodytext"/>
              <w:numPr>
                <w:ilvl w:val="0"/>
                <w:numId w:val="17"/>
              </w:numPr>
            </w:pPr>
            <w:r>
              <w:t>actuarial gains or losses arising on changes in demographic assumptions</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FC7A" w14:textId="77777777" w:rsidR="00AF51F1" w:rsidRDefault="00711D3C">
            <w:pPr>
              <w:pStyle w:val="09-Bodytext"/>
              <w:jc w:val="right"/>
            </w:pPr>
            <w:r>
              <w:t>197</w:t>
            </w:r>
          </w:p>
        </w:tc>
        <w:tc>
          <w:tcPr>
            <w:tcW w:w="1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2B188" w14:textId="77777777" w:rsidR="00AF51F1" w:rsidRDefault="00711D3C">
            <w:pPr>
              <w:pStyle w:val="09-Bodytext"/>
              <w:jc w:val="right"/>
            </w:pPr>
            <w:r>
              <w:t>743</w:t>
            </w:r>
          </w:p>
        </w:tc>
      </w:tr>
      <w:tr w:rsidR="00AF51F1" w14:paraId="01750FC1" w14:textId="77777777">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B2D26" w14:textId="77777777" w:rsidR="00AF51F1" w:rsidRDefault="00711D3C">
            <w:pPr>
              <w:pStyle w:val="09-Bodytext"/>
              <w:numPr>
                <w:ilvl w:val="0"/>
                <w:numId w:val="17"/>
              </w:numPr>
            </w:pPr>
            <w:r>
              <w:t>actuarial gains or losses arising on changes in financial assumptions</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FC386" w14:textId="77777777" w:rsidR="00AF51F1" w:rsidRDefault="00711D3C">
            <w:pPr>
              <w:pStyle w:val="09-Bodytext"/>
              <w:jc w:val="right"/>
            </w:pPr>
            <w:r>
              <w:t>2,311</w:t>
            </w:r>
          </w:p>
        </w:tc>
        <w:tc>
          <w:tcPr>
            <w:tcW w:w="1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CD8C7" w14:textId="77777777" w:rsidR="00AF51F1" w:rsidRDefault="00711D3C">
            <w:pPr>
              <w:pStyle w:val="09-Bodytext"/>
              <w:jc w:val="right"/>
            </w:pPr>
            <w:r>
              <w:t>(6,634)</w:t>
            </w:r>
          </w:p>
        </w:tc>
      </w:tr>
      <w:tr w:rsidR="00AF51F1" w14:paraId="2E94CD59" w14:textId="77777777">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A2134" w14:textId="77777777" w:rsidR="00AF51F1" w:rsidRDefault="00711D3C">
            <w:pPr>
              <w:pStyle w:val="09-Bodytext"/>
              <w:numPr>
                <w:ilvl w:val="0"/>
                <w:numId w:val="17"/>
              </w:numPr>
            </w:pPr>
            <w:r>
              <w:t>actuarial gains or losses arising on changes in other experience</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8834F" w14:textId="77777777" w:rsidR="00AF51F1" w:rsidRDefault="00711D3C">
            <w:pPr>
              <w:pStyle w:val="09-Bodytext"/>
              <w:jc w:val="right"/>
            </w:pPr>
            <w:r>
              <w:t>(42)</w:t>
            </w:r>
          </w:p>
        </w:tc>
        <w:tc>
          <w:tcPr>
            <w:tcW w:w="1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2549C" w14:textId="77777777" w:rsidR="00AF51F1" w:rsidRDefault="00711D3C">
            <w:pPr>
              <w:pStyle w:val="09-Bodytext"/>
              <w:jc w:val="right"/>
            </w:pPr>
            <w:r>
              <w:t>(589)</w:t>
            </w:r>
          </w:p>
        </w:tc>
      </w:tr>
      <w:tr w:rsidR="00AF51F1" w14:paraId="7AB11FB4" w14:textId="77777777">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69FA8" w14:textId="77777777" w:rsidR="00AF51F1" w:rsidRDefault="00711D3C">
            <w:pPr>
              <w:pStyle w:val="09-Bodytext"/>
              <w:rPr>
                <w:b/>
                <w:bCs/>
              </w:rPr>
            </w:pPr>
            <w:r>
              <w:rPr>
                <w:b/>
                <w:bCs/>
              </w:rPr>
              <w:t xml:space="preserve">Total post-employment benefit charged to the Comprehensive Income and Expenditure Statement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BF15" w14:textId="77777777" w:rsidR="00AF51F1" w:rsidRDefault="00711D3C">
            <w:pPr>
              <w:pStyle w:val="09-Bodytext"/>
              <w:jc w:val="right"/>
              <w:rPr>
                <w:b/>
                <w:bCs/>
              </w:rPr>
            </w:pPr>
            <w:r>
              <w:rPr>
                <w:b/>
                <w:bCs/>
              </w:rPr>
              <w:t>4,198</w:t>
            </w:r>
          </w:p>
        </w:tc>
        <w:tc>
          <w:tcPr>
            <w:tcW w:w="1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A544F" w14:textId="77777777" w:rsidR="00AF51F1" w:rsidRDefault="00711D3C">
            <w:pPr>
              <w:pStyle w:val="09-Bodytext"/>
              <w:jc w:val="right"/>
              <w:rPr>
                <w:b/>
                <w:bCs/>
              </w:rPr>
            </w:pPr>
            <w:r>
              <w:rPr>
                <w:b/>
                <w:bCs/>
              </w:rPr>
              <w:t>(721)</w:t>
            </w:r>
          </w:p>
        </w:tc>
      </w:tr>
      <w:tr w:rsidR="00AF51F1" w14:paraId="2ABCB8A7" w14:textId="77777777">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A47C1" w14:textId="77777777" w:rsidR="00AF51F1" w:rsidRDefault="00AF51F1">
            <w:pPr>
              <w:pStyle w:val="09-Bodytext"/>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FB1A0" w14:textId="77777777" w:rsidR="00AF51F1" w:rsidRDefault="00AF51F1">
            <w:pPr>
              <w:pStyle w:val="09-Bodytext"/>
              <w:jc w:val="right"/>
            </w:pPr>
          </w:p>
        </w:tc>
        <w:tc>
          <w:tcPr>
            <w:tcW w:w="1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DFA00" w14:textId="77777777" w:rsidR="00AF51F1" w:rsidRDefault="00AF51F1">
            <w:pPr>
              <w:pStyle w:val="09-Bodytext"/>
              <w:jc w:val="right"/>
            </w:pPr>
          </w:p>
        </w:tc>
      </w:tr>
      <w:tr w:rsidR="00AF51F1" w14:paraId="694FF652" w14:textId="77777777">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4B2AA" w14:textId="77777777" w:rsidR="00AF51F1" w:rsidRDefault="00711D3C">
            <w:pPr>
              <w:pStyle w:val="09-Bodytext"/>
            </w:pPr>
            <w:r>
              <w:t>Net Charge to the Surplus/Deficit on the Provision of Services brought forward</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6EEFC" w14:textId="77777777" w:rsidR="00AF51F1" w:rsidRDefault="00711D3C">
            <w:pPr>
              <w:pStyle w:val="09-Bodytext"/>
              <w:jc w:val="right"/>
            </w:pPr>
            <w:r>
              <w:t>1,160</w:t>
            </w:r>
          </w:p>
        </w:tc>
        <w:tc>
          <w:tcPr>
            <w:tcW w:w="1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B2178" w14:textId="77777777" w:rsidR="00AF51F1" w:rsidRDefault="00711D3C">
            <w:pPr>
              <w:pStyle w:val="09-Bodytext"/>
              <w:jc w:val="right"/>
            </w:pPr>
            <w:r>
              <w:t>779</w:t>
            </w:r>
          </w:p>
        </w:tc>
      </w:tr>
      <w:tr w:rsidR="00AF51F1" w14:paraId="13155E8D" w14:textId="77777777">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A9A033" w14:textId="77777777" w:rsidR="00AF51F1" w:rsidRDefault="00AF51F1">
            <w:pPr>
              <w:pStyle w:val="09-Bodytext"/>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739A64" w14:textId="77777777" w:rsidR="00AF51F1" w:rsidRDefault="00AF51F1">
            <w:pPr>
              <w:pStyle w:val="09-Bodytext"/>
              <w:jc w:val="right"/>
            </w:pPr>
          </w:p>
        </w:tc>
        <w:tc>
          <w:tcPr>
            <w:tcW w:w="1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6F4AC" w14:textId="77777777" w:rsidR="00AF51F1" w:rsidRDefault="00AF51F1">
            <w:pPr>
              <w:pStyle w:val="09-Bodytext"/>
              <w:jc w:val="right"/>
            </w:pPr>
          </w:p>
        </w:tc>
      </w:tr>
      <w:tr w:rsidR="00AF51F1" w14:paraId="52413ECF" w14:textId="77777777">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908A3" w14:textId="77777777" w:rsidR="00AF51F1" w:rsidRDefault="00711D3C">
            <w:pPr>
              <w:pStyle w:val="09-Bodytext"/>
              <w:rPr>
                <w:b/>
                <w:bCs/>
              </w:rPr>
            </w:pPr>
            <w:r>
              <w:rPr>
                <w:b/>
                <w:bCs/>
              </w:rPr>
              <w:t>Movement In Reserves Statement</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D1EA5" w14:textId="77777777" w:rsidR="00AF51F1" w:rsidRDefault="00AF51F1">
            <w:pPr>
              <w:pStyle w:val="09-Bodytext"/>
              <w:jc w:val="right"/>
            </w:pPr>
          </w:p>
        </w:tc>
        <w:tc>
          <w:tcPr>
            <w:tcW w:w="1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D7A14" w14:textId="77777777" w:rsidR="00AF51F1" w:rsidRDefault="00AF51F1">
            <w:pPr>
              <w:pStyle w:val="09-Bodytext"/>
              <w:jc w:val="right"/>
            </w:pPr>
          </w:p>
        </w:tc>
      </w:tr>
      <w:tr w:rsidR="00AF51F1" w14:paraId="4E963F32" w14:textId="77777777">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37A9E" w14:textId="77777777" w:rsidR="00AF51F1" w:rsidRDefault="00711D3C">
            <w:pPr>
              <w:pStyle w:val="09-Bodytext"/>
              <w:numPr>
                <w:ilvl w:val="0"/>
                <w:numId w:val="17"/>
              </w:numPr>
            </w:pPr>
            <w:r>
              <w:t>reversal of net charges made to the surplus or deficit for the provision of services for post-employment benefits in accordance with the Code</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3DD10" w14:textId="77777777" w:rsidR="00AF51F1" w:rsidRDefault="00711D3C">
            <w:pPr>
              <w:pStyle w:val="09-Bodytext"/>
              <w:jc w:val="right"/>
            </w:pPr>
            <w:r>
              <w:t>(725)</w:t>
            </w:r>
          </w:p>
        </w:tc>
        <w:tc>
          <w:tcPr>
            <w:tcW w:w="1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4643C" w14:textId="77777777" w:rsidR="00AF51F1" w:rsidRDefault="00711D3C">
            <w:pPr>
              <w:pStyle w:val="09-Bodytext"/>
              <w:jc w:val="right"/>
            </w:pPr>
            <w:r>
              <w:t>(361)</w:t>
            </w:r>
          </w:p>
        </w:tc>
      </w:tr>
      <w:tr w:rsidR="00AF51F1" w14:paraId="78DF2532" w14:textId="77777777">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33322" w14:textId="77777777" w:rsidR="00AF51F1" w:rsidRDefault="00AF51F1">
            <w:pPr>
              <w:pStyle w:val="09-Bodytext"/>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D949E" w14:textId="77777777" w:rsidR="00AF51F1" w:rsidRDefault="00AF51F1">
            <w:pPr>
              <w:pStyle w:val="09-Bodytext"/>
              <w:jc w:val="right"/>
            </w:pPr>
          </w:p>
        </w:tc>
        <w:tc>
          <w:tcPr>
            <w:tcW w:w="1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B2F36" w14:textId="77777777" w:rsidR="00AF51F1" w:rsidRDefault="00AF51F1">
            <w:pPr>
              <w:pStyle w:val="09-Bodytext"/>
              <w:jc w:val="right"/>
            </w:pPr>
          </w:p>
        </w:tc>
      </w:tr>
      <w:tr w:rsidR="00AF51F1" w14:paraId="0928135D" w14:textId="77777777">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2F5AA" w14:textId="77777777" w:rsidR="00AF51F1" w:rsidRDefault="00711D3C">
            <w:pPr>
              <w:pStyle w:val="09-Bodytext"/>
              <w:rPr>
                <w:b/>
                <w:bCs/>
              </w:rPr>
            </w:pPr>
            <w:r>
              <w:rPr>
                <w:b/>
                <w:bCs/>
              </w:rPr>
              <w:t>Actual amount charged against the General Fund balance for pensions in the year:</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73008" w14:textId="77777777" w:rsidR="00AF51F1" w:rsidRDefault="00AF51F1">
            <w:pPr>
              <w:pStyle w:val="09-Bodytext"/>
              <w:jc w:val="right"/>
              <w:rPr>
                <w:b/>
                <w:bCs/>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A825E" w14:textId="77777777" w:rsidR="00AF51F1" w:rsidRDefault="00AF51F1">
            <w:pPr>
              <w:pStyle w:val="09-Bodytext"/>
              <w:jc w:val="right"/>
              <w:rPr>
                <w:b/>
                <w:bCs/>
              </w:rPr>
            </w:pPr>
          </w:p>
        </w:tc>
      </w:tr>
      <w:tr w:rsidR="00AF51F1" w14:paraId="67654FCF" w14:textId="77777777">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B87A3" w14:textId="77777777" w:rsidR="00AF51F1" w:rsidRDefault="00711D3C">
            <w:pPr>
              <w:pStyle w:val="09-Bodytext"/>
              <w:numPr>
                <w:ilvl w:val="0"/>
                <w:numId w:val="17"/>
              </w:numPr>
            </w:pPr>
            <w:r>
              <w:t>employers’ contributions payable to the scheme</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F6289" w14:textId="77777777" w:rsidR="00AF51F1" w:rsidRDefault="00711D3C">
            <w:pPr>
              <w:pStyle w:val="09-Bodytext"/>
              <w:jc w:val="right"/>
            </w:pPr>
            <w:r>
              <w:t>435</w:t>
            </w:r>
          </w:p>
        </w:tc>
        <w:tc>
          <w:tcPr>
            <w:tcW w:w="1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4184E" w14:textId="77777777" w:rsidR="00AF51F1" w:rsidRDefault="00711D3C">
            <w:pPr>
              <w:pStyle w:val="09-Bodytext"/>
              <w:jc w:val="right"/>
            </w:pPr>
            <w:r>
              <w:t>418</w:t>
            </w:r>
          </w:p>
        </w:tc>
      </w:tr>
    </w:tbl>
    <w:p w14:paraId="34B3B28F" w14:textId="77777777" w:rsidR="00AF51F1" w:rsidRDefault="00AF51F1">
      <w:pPr>
        <w:pStyle w:val="09-Bodytext"/>
        <w:rPr>
          <w:shd w:val="clear" w:color="auto" w:fill="FFFF00"/>
        </w:rPr>
      </w:pPr>
    </w:p>
    <w:p w14:paraId="6CD5E32D" w14:textId="77777777" w:rsidR="00AF51F1" w:rsidRDefault="00711D3C">
      <w:pPr>
        <w:pStyle w:val="09-Bodytext"/>
        <w:rPr>
          <w:b/>
          <w:bCs/>
        </w:rPr>
      </w:pPr>
      <w:r>
        <w:rPr>
          <w:b/>
          <w:bCs/>
        </w:rPr>
        <w:t>Pensions Assets and Liabilities Recognised in the Balance Sheet</w:t>
      </w:r>
    </w:p>
    <w:p w14:paraId="64791D45" w14:textId="77777777" w:rsidR="00AF51F1" w:rsidRDefault="00AF51F1">
      <w:pPr>
        <w:pStyle w:val="09-Bodytext"/>
        <w:rPr>
          <w:b/>
          <w:bCs/>
        </w:rPr>
      </w:pPr>
    </w:p>
    <w:p w14:paraId="1564DDE0" w14:textId="77777777" w:rsidR="00AF51F1" w:rsidRDefault="00711D3C">
      <w:pPr>
        <w:pStyle w:val="09-Bodytext"/>
      </w:pPr>
      <w:r>
        <w:t>The amount included in the Balance Sheet arising from the Lanarkshire Valuation Joint Board’s obligation in respect of its defined benefit plan is as follows:</w:t>
      </w:r>
    </w:p>
    <w:p w14:paraId="59A08CE0" w14:textId="77777777" w:rsidR="00AF51F1" w:rsidRDefault="00AF51F1">
      <w:pPr>
        <w:pStyle w:val="09-Bodytext"/>
        <w:rPr>
          <w:shd w:val="clear" w:color="auto" w:fill="FFFF00"/>
        </w:rPr>
      </w:pPr>
    </w:p>
    <w:tbl>
      <w:tblPr>
        <w:tblW w:w="5000" w:type="pct"/>
        <w:tblCellMar>
          <w:left w:w="10" w:type="dxa"/>
          <w:right w:w="10" w:type="dxa"/>
        </w:tblCellMar>
        <w:tblLook w:val="0000" w:firstRow="0" w:lastRow="0" w:firstColumn="0" w:lastColumn="0" w:noHBand="0" w:noVBand="0"/>
      </w:tblPr>
      <w:tblGrid>
        <w:gridCol w:w="6608"/>
        <w:gridCol w:w="1205"/>
        <w:gridCol w:w="1203"/>
      </w:tblGrid>
      <w:tr w:rsidR="00AF51F1" w14:paraId="278FE3E1" w14:textId="77777777">
        <w:tc>
          <w:tcPr>
            <w:tcW w:w="6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9578B" w14:textId="77777777" w:rsidR="00AF51F1" w:rsidRDefault="00AF51F1">
            <w:pPr>
              <w:pStyle w:val="09-Bodytext"/>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07E76" w14:textId="77777777" w:rsidR="00AF51F1" w:rsidRDefault="00711D3C">
            <w:pPr>
              <w:pStyle w:val="09-Bodytext"/>
              <w:jc w:val="right"/>
              <w:rPr>
                <w:b/>
                <w:bCs/>
              </w:rPr>
            </w:pPr>
            <w:r>
              <w:rPr>
                <w:b/>
                <w:bCs/>
              </w:rPr>
              <w:t>2021/22</w:t>
            </w:r>
          </w:p>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03E38" w14:textId="77777777" w:rsidR="00AF51F1" w:rsidRDefault="00711D3C">
            <w:pPr>
              <w:pStyle w:val="09-Bodytext"/>
              <w:jc w:val="right"/>
              <w:rPr>
                <w:b/>
                <w:bCs/>
              </w:rPr>
            </w:pPr>
            <w:r>
              <w:rPr>
                <w:b/>
                <w:bCs/>
              </w:rPr>
              <w:t>2020/21</w:t>
            </w:r>
          </w:p>
        </w:tc>
      </w:tr>
      <w:tr w:rsidR="00AF51F1" w14:paraId="445EDF8F" w14:textId="77777777">
        <w:tc>
          <w:tcPr>
            <w:tcW w:w="6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5FA31" w14:textId="77777777" w:rsidR="00AF51F1" w:rsidRDefault="00AF51F1">
            <w:pPr>
              <w:pStyle w:val="09-Bodytext"/>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C0046" w14:textId="77777777" w:rsidR="00AF51F1" w:rsidRDefault="00711D3C">
            <w:pPr>
              <w:pStyle w:val="09-Bodytext"/>
              <w:jc w:val="right"/>
              <w:rPr>
                <w:b/>
                <w:bCs/>
              </w:rPr>
            </w:pPr>
            <w:r>
              <w:rPr>
                <w:b/>
                <w:bCs/>
              </w:rPr>
              <w:t>£000</w:t>
            </w:r>
          </w:p>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32212" w14:textId="77777777" w:rsidR="00AF51F1" w:rsidRDefault="00711D3C">
            <w:pPr>
              <w:pStyle w:val="09-Bodytext"/>
              <w:jc w:val="right"/>
              <w:rPr>
                <w:b/>
                <w:bCs/>
              </w:rPr>
            </w:pPr>
            <w:r>
              <w:rPr>
                <w:b/>
                <w:bCs/>
              </w:rPr>
              <w:t>£000</w:t>
            </w:r>
          </w:p>
        </w:tc>
      </w:tr>
      <w:tr w:rsidR="00AF51F1" w14:paraId="59F2DC4F" w14:textId="77777777">
        <w:tc>
          <w:tcPr>
            <w:tcW w:w="6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354AF" w14:textId="77777777" w:rsidR="00AF51F1" w:rsidRDefault="00711D3C">
            <w:pPr>
              <w:pStyle w:val="09-Bodytext"/>
            </w:pPr>
            <w:r>
              <w:t>Present value of the defined obligation</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467FC" w14:textId="77777777" w:rsidR="00AF51F1" w:rsidRDefault="00711D3C">
            <w:pPr>
              <w:pStyle w:val="09-Bodytext"/>
              <w:jc w:val="right"/>
            </w:pPr>
            <w:r>
              <w:t>(31,554)</w:t>
            </w:r>
          </w:p>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6010C" w14:textId="77777777" w:rsidR="00AF51F1" w:rsidRDefault="00711D3C">
            <w:pPr>
              <w:pStyle w:val="09-Bodytext"/>
              <w:jc w:val="right"/>
            </w:pPr>
            <w:r>
              <w:t>(32,593)</w:t>
            </w:r>
          </w:p>
        </w:tc>
      </w:tr>
      <w:tr w:rsidR="00AF51F1" w14:paraId="2DCECFD4" w14:textId="77777777">
        <w:tc>
          <w:tcPr>
            <w:tcW w:w="6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AB051" w14:textId="77777777" w:rsidR="00AF51F1" w:rsidRDefault="00711D3C">
            <w:pPr>
              <w:pStyle w:val="09-Bodytext"/>
            </w:pPr>
            <w:r>
              <w:t>Fair value of pension fund assets</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B09AA" w14:textId="77777777" w:rsidR="00AF51F1" w:rsidRDefault="00711D3C">
            <w:pPr>
              <w:pStyle w:val="09-Bodytext"/>
              <w:jc w:val="right"/>
            </w:pPr>
            <w:r>
              <w:t>32,827</w:t>
            </w:r>
          </w:p>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E8A5C" w14:textId="77777777" w:rsidR="00AF51F1" w:rsidRDefault="00711D3C">
            <w:pPr>
              <w:pStyle w:val="09-Bodytext"/>
              <w:jc w:val="right"/>
            </w:pPr>
            <w:r>
              <w:t>30,393</w:t>
            </w:r>
          </w:p>
        </w:tc>
      </w:tr>
      <w:tr w:rsidR="00AF51F1" w14:paraId="6FFDAE2A" w14:textId="77777777">
        <w:tc>
          <w:tcPr>
            <w:tcW w:w="6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7BAC6" w14:textId="77777777" w:rsidR="00AF51F1" w:rsidRDefault="00711D3C">
            <w:pPr>
              <w:pStyle w:val="09-Bodytext"/>
              <w:rPr>
                <w:b/>
                <w:bCs/>
              </w:rPr>
            </w:pPr>
            <w:r>
              <w:rPr>
                <w:b/>
                <w:bCs/>
              </w:rPr>
              <w:t>Net liability arising from defined benefit obligations</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53810" w14:textId="77777777" w:rsidR="00AF51F1" w:rsidRDefault="00711D3C">
            <w:pPr>
              <w:pStyle w:val="09-Bodytext"/>
              <w:jc w:val="right"/>
              <w:rPr>
                <w:b/>
                <w:bCs/>
              </w:rPr>
            </w:pPr>
            <w:r>
              <w:rPr>
                <w:b/>
                <w:bCs/>
              </w:rPr>
              <w:t>1,273</w:t>
            </w:r>
          </w:p>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49AA6" w14:textId="77777777" w:rsidR="00AF51F1" w:rsidRDefault="00711D3C">
            <w:pPr>
              <w:pStyle w:val="09-Bodytext"/>
              <w:jc w:val="right"/>
              <w:rPr>
                <w:b/>
                <w:bCs/>
              </w:rPr>
            </w:pPr>
            <w:r>
              <w:rPr>
                <w:b/>
                <w:bCs/>
              </w:rPr>
              <w:t>(2,200)</w:t>
            </w:r>
          </w:p>
        </w:tc>
      </w:tr>
    </w:tbl>
    <w:p w14:paraId="720F759E" w14:textId="77777777" w:rsidR="00AF51F1" w:rsidRDefault="00AF51F1">
      <w:pPr>
        <w:pStyle w:val="09-Bodytext"/>
        <w:rPr>
          <w:shd w:val="clear" w:color="auto" w:fill="FFFF00"/>
        </w:rPr>
      </w:pPr>
    </w:p>
    <w:p w14:paraId="5620320C" w14:textId="77777777" w:rsidR="00AF51F1" w:rsidRDefault="00711D3C">
      <w:pPr>
        <w:pStyle w:val="09-Bodytext"/>
      </w:pPr>
      <w:r>
        <w:t>A reconciliation of the Board’s share of the present value of the Fund’s defined obligation is as follows:</w:t>
      </w:r>
    </w:p>
    <w:p w14:paraId="2C2CD5BF" w14:textId="77777777" w:rsidR="00AF51F1" w:rsidRDefault="00AF51F1">
      <w:pPr>
        <w:pStyle w:val="09-Bodytext"/>
      </w:pPr>
    </w:p>
    <w:p w14:paraId="4F10BCA1" w14:textId="77777777" w:rsidR="00AF51F1" w:rsidRDefault="00AF51F1">
      <w:pPr>
        <w:pStyle w:val="09-Bodytext"/>
      </w:pPr>
    </w:p>
    <w:p w14:paraId="502147D3" w14:textId="77777777" w:rsidR="00AF51F1" w:rsidRDefault="00AF51F1">
      <w:pPr>
        <w:pStyle w:val="09-Bodytext"/>
        <w:pageBreakBefore/>
      </w:pPr>
    </w:p>
    <w:tbl>
      <w:tblPr>
        <w:tblW w:w="5000" w:type="pct"/>
        <w:tblCellMar>
          <w:left w:w="10" w:type="dxa"/>
          <w:right w:w="10" w:type="dxa"/>
        </w:tblCellMar>
        <w:tblLook w:val="0000" w:firstRow="0" w:lastRow="0" w:firstColumn="0" w:lastColumn="0" w:noHBand="0" w:noVBand="0"/>
      </w:tblPr>
      <w:tblGrid>
        <w:gridCol w:w="6232"/>
        <w:gridCol w:w="1417"/>
        <w:gridCol w:w="1367"/>
      </w:tblGrid>
      <w:tr w:rsidR="00AF51F1" w14:paraId="47DB58A8" w14:textId="77777777">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D539A" w14:textId="77777777" w:rsidR="00AF51F1" w:rsidRDefault="00AF51F1">
            <w:pPr>
              <w:pStyle w:val="09-Bodytext"/>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D0EA5" w14:textId="77777777" w:rsidR="00AF51F1" w:rsidRDefault="00711D3C">
            <w:pPr>
              <w:pStyle w:val="09-Bodytext"/>
              <w:jc w:val="right"/>
              <w:rPr>
                <w:b/>
                <w:bCs/>
              </w:rPr>
            </w:pPr>
            <w:r>
              <w:rPr>
                <w:b/>
                <w:bCs/>
              </w:rPr>
              <w:t>2021/22</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77F4D" w14:textId="77777777" w:rsidR="00AF51F1" w:rsidRDefault="00711D3C">
            <w:pPr>
              <w:pStyle w:val="09-Bodytext"/>
              <w:jc w:val="right"/>
              <w:rPr>
                <w:b/>
                <w:bCs/>
              </w:rPr>
            </w:pPr>
            <w:r>
              <w:rPr>
                <w:b/>
                <w:bCs/>
              </w:rPr>
              <w:t>2020/21</w:t>
            </w:r>
          </w:p>
        </w:tc>
      </w:tr>
      <w:tr w:rsidR="00AF51F1" w14:paraId="6CC4D335" w14:textId="77777777">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4FAE6" w14:textId="77777777" w:rsidR="00AF51F1" w:rsidRDefault="00AF51F1">
            <w:pPr>
              <w:pStyle w:val="09-Bodytext"/>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A298A" w14:textId="77777777" w:rsidR="00AF51F1" w:rsidRDefault="00711D3C">
            <w:pPr>
              <w:pStyle w:val="09-Bodytext"/>
              <w:jc w:val="right"/>
              <w:rPr>
                <w:b/>
                <w:bCs/>
              </w:rPr>
            </w:pPr>
            <w:r>
              <w:rPr>
                <w:b/>
                <w:bCs/>
              </w:rPr>
              <w:t>£000</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860C3" w14:textId="77777777" w:rsidR="00AF51F1" w:rsidRDefault="00711D3C">
            <w:pPr>
              <w:pStyle w:val="09-Bodytext"/>
              <w:jc w:val="right"/>
              <w:rPr>
                <w:b/>
                <w:bCs/>
              </w:rPr>
            </w:pPr>
            <w:r>
              <w:rPr>
                <w:b/>
                <w:bCs/>
              </w:rPr>
              <w:t>£000</w:t>
            </w:r>
          </w:p>
        </w:tc>
      </w:tr>
      <w:tr w:rsidR="00AF51F1" w14:paraId="242DED8F" w14:textId="77777777">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78533" w14:textId="77777777" w:rsidR="00AF51F1" w:rsidRDefault="00711D3C">
            <w:pPr>
              <w:pStyle w:val="09-Bodytext"/>
            </w:pPr>
            <w:r>
              <w:t xml:space="preserve">Opening Balance </w:t>
            </w:r>
            <w:proofErr w:type="gramStart"/>
            <w:r>
              <w:t>at</w:t>
            </w:r>
            <w:proofErr w:type="gramEnd"/>
            <w:r>
              <w:t xml:space="preserve"> 1 April</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DD390" w14:textId="77777777" w:rsidR="00AF51F1" w:rsidRDefault="00711D3C">
            <w:pPr>
              <w:pStyle w:val="09-Bodytext"/>
              <w:jc w:val="right"/>
            </w:pPr>
            <w:r>
              <w:t>(32,593)</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A1395" w14:textId="77777777" w:rsidR="00AF51F1" w:rsidRDefault="00711D3C">
            <w:pPr>
              <w:pStyle w:val="09-Bodytext"/>
              <w:jc w:val="right"/>
            </w:pPr>
            <w:r>
              <w:t>(26,356)</w:t>
            </w:r>
          </w:p>
        </w:tc>
      </w:tr>
      <w:tr w:rsidR="00AF51F1" w14:paraId="70E8B112" w14:textId="77777777">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F43CB" w14:textId="77777777" w:rsidR="00AF51F1" w:rsidRDefault="00711D3C">
            <w:pPr>
              <w:pStyle w:val="09-Bodytext"/>
            </w:pPr>
            <w:r>
              <w:t>Current Service Cost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8891B" w14:textId="77777777" w:rsidR="00AF51F1" w:rsidRDefault="00711D3C">
            <w:pPr>
              <w:pStyle w:val="09-Bodytext"/>
              <w:jc w:val="right"/>
            </w:pPr>
            <w:r>
              <w:t>(1,109)</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099CA" w14:textId="77777777" w:rsidR="00AF51F1" w:rsidRDefault="00711D3C">
            <w:pPr>
              <w:pStyle w:val="09-Bodytext"/>
              <w:jc w:val="right"/>
            </w:pPr>
            <w:r>
              <w:t>(749)</w:t>
            </w:r>
          </w:p>
        </w:tc>
      </w:tr>
      <w:tr w:rsidR="00AF51F1" w14:paraId="540F0ABC" w14:textId="77777777">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E05D0" w14:textId="77777777" w:rsidR="00AF51F1" w:rsidRDefault="00711D3C">
            <w:pPr>
              <w:pStyle w:val="09-Bodytext"/>
            </w:pPr>
            <w:r>
              <w:t>Interest Cost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1C338" w14:textId="77777777" w:rsidR="00AF51F1" w:rsidRDefault="00711D3C">
            <w:pPr>
              <w:pStyle w:val="09-Bodytext"/>
              <w:jc w:val="right"/>
            </w:pPr>
            <w:r>
              <w:t>(659)</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B2034" w14:textId="77777777" w:rsidR="00AF51F1" w:rsidRDefault="00711D3C">
            <w:pPr>
              <w:pStyle w:val="09-Bodytext"/>
              <w:jc w:val="right"/>
            </w:pPr>
            <w:r>
              <w:t>(611)</w:t>
            </w:r>
          </w:p>
        </w:tc>
      </w:tr>
      <w:tr w:rsidR="00AF51F1" w14:paraId="580780C3" w14:textId="77777777">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BAFB4" w14:textId="77777777" w:rsidR="00AF51F1" w:rsidRDefault="00711D3C">
            <w:pPr>
              <w:pStyle w:val="09-Bodytext"/>
            </w:pPr>
            <w:r>
              <w:t>Contributions by scheme participants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06B54" w14:textId="77777777" w:rsidR="00AF51F1" w:rsidRDefault="00711D3C">
            <w:pPr>
              <w:pStyle w:val="09-Bodytext"/>
              <w:jc w:val="right"/>
            </w:pPr>
            <w:r>
              <w:t>(142)</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22E4F" w14:textId="77777777" w:rsidR="00AF51F1" w:rsidRDefault="00711D3C">
            <w:pPr>
              <w:pStyle w:val="09-Bodytext"/>
              <w:jc w:val="right"/>
            </w:pPr>
            <w:r>
              <w:t>(135)</w:t>
            </w:r>
          </w:p>
        </w:tc>
      </w:tr>
      <w:tr w:rsidR="00AF51F1" w14:paraId="0EC6FE84" w14:textId="77777777">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3A08B" w14:textId="77777777" w:rsidR="00AF51F1" w:rsidRDefault="00711D3C">
            <w:pPr>
              <w:pStyle w:val="09-Bodytext"/>
            </w:pPr>
            <w:r>
              <w:t>Re-measurement gains / (losses)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2B6F5" w14:textId="77777777" w:rsidR="00AF51F1" w:rsidRDefault="00AF51F1">
            <w:pPr>
              <w:pStyle w:val="09-Bodytext"/>
              <w:jc w:val="right"/>
            </w:pP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1B343" w14:textId="77777777" w:rsidR="00AF51F1" w:rsidRDefault="00AF51F1">
            <w:pPr>
              <w:pStyle w:val="09-Bodytext"/>
              <w:jc w:val="right"/>
            </w:pPr>
          </w:p>
        </w:tc>
      </w:tr>
      <w:tr w:rsidR="00AF51F1" w14:paraId="3432F575" w14:textId="77777777">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EB405" w14:textId="77777777" w:rsidR="00AF51F1" w:rsidRDefault="00711D3C">
            <w:pPr>
              <w:pStyle w:val="09-Bodytext"/>
            </w:pPr>
            <w:r>
              <w:t>actuarial gains / (losses) arising on changes in demographic assumptions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CE1C8" w14:textId="77777777" w:rsidR="00AF51F1" w:rsidRDefault="00711D3C">
            <w:pPr>
              <w:pStyle w:val="09-Bodytext"/>
              <w:jc w:val="right"/>
            </w:pPr>
            <w:r>
              <w:t>197</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97D0" w14:textId="77777777" w:rsidR="00AF51F1" w:rsidRDefault="00711D3C">
            <w:pPr>
              <w:pStyle w:val="09-Bodytext"/>
              <w:jc w:val="right"/>
            </w:pPr>
            <w:r>
              <w:t>743</w:t>
            </w:r>
          </w:p>
        </w:tc>
      </w:tr>
      <w:tr w:rsidR="00AF51F1" w14:paraId="65135A79" w14:textId="77777777">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F5CC0" w14:textId="77777777" w:rsidR="00AF51F1" w:rsidRDefault="00711D3C">
            <w:pPr>
              <w:pStyle w:val="09-Bodytext"/>
            </w:pPr>
            <w:r>
              <w:t>actuarial gains / (losses) arising from changes in financial assumptions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60405" w14:textId="77777777" w:rsidR="00AF51F1" w:rsidRDefault="00711D3C">
            <w:pPr>
              <w:pStyle w:val="09-Bodytext"/>
              <w:jc w:val="right"/>
            </w:pPr>
            <w:r>
              <w:t>2,311</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51E98" w14:textId="77777777" w:rsidR="00AF51F1" w:rsidRDefault="00711D3C">
            <w:pPr>
              <w:pStyle w:val="09-Bodytext"/>
              <w:jc w:val="right"/>
            </w:pPr>
            <w:r>
              <w:t>(6,634)</w:t>
            </w:r>
          </w:p>
        </w:tc>
      </w:tr>
      <w:tr w:rsidR="00AF51F1" w14:paraId="289906D4" w14:textId="77777777">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2C913" w14:textId="77777777" w:rsidR="00AF51F1" w:rsidRDefault="00711D3C">
            <w:pPr>
              <w:pStyle w:val="09-Bodytext"/>
            </w:pPr>
            <w:r>
              <w:t>actuarial gains / (losses) arising from changes in other experience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8A4B5" w14:textId="77777777" w:rsidR="00AF51F1" w:rsidRDefault="00711D3C">
            <w:pPr>
              <w:pStyle w:val="09-Bodytext"/>
              <w:jc w:val="right"/>
            </w:pPr>
            <w:r>
              <w:t>(42)</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3A68B" w14:textId="77777777" w:rsidR="00AF51F1" w:rsidRDefault="00711D3C">
            <w:pPr>
              <w:pStyle w:val="09-Bodytext"/>
              <w:jc w:val="right"/>
            </w:pPr>
            <w:r>
              <w:t>700</w:t>
            </w:r>
          </w:p>
        </w:tc>
      </w:tr>
      <w:tr w:rsidR="00AF51F1" w14:paraId="3BC302C6" w14:textId="77777777">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7AEE3" w14:textId="77777777" w:rsidR="00AF51F1" w:rsidRDefault="00711D3C">
            <w:pPr>
              <w:pStyle w:val="09-Bodytext"/>
            </w:pPr>
            <w:r>
              <w:t>Past service gains / (losses)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CF2F5" w14:textId="77777777" w:rsidR="00AF51F1" w:rsidRDefault="00711D3C">
            <w:pPr>
              <w:pStyle w:val="09-Bodytext"/>
              <w:jc w:val="right"/>
            </w:pPr>
            <w:r>
              <w: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19F8E" w14:textId="77777777" w:rsidR="00AF51F1" w:rsidRDefault="00711D3C">
            <w:pPr>
              <w:pStyle w:val="09-Bodytext"/>
              <w:jc w:val="right"/>
            </w:pPr>
            <w:r>
              <w:t>-</w:t>
            </w:r>
          </w:p>
        </w:tc>
      </w:tr>
      <w:tr w:rsidR="00AF51F1" w14:paraId="4CED5F21" w14:textId="77777777">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E26E5" w14:textId="77777777" w:rsidR="00AF51F1" w:rsidRDefault="00711D3C">
            <w:pPr>
              <w:pStyle w:val="09-Bodytext"/>
            </w:pPr>
            <w:r>
              <w:t>Settlements and curtailments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6E52D" w14:textId="77777777" w:rsidR="00AF51F1" w:rsidRDefault="00711D3C">
            <w:pPr>
              <w:pStyle w:val="09-Bodytext"/>
              <w:jc w:val="right"/>
            </w:pPr>
            <w:r>
              <w: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2BBD9" w14:textId="77777777" w:rsidR="00AF51F1" w:rsidRDefault="00711D3C">
            <w:pPr>
              <w:pStyle w:val="09-Bodytext"/>
              <w:jc w:val="right"/>
            </w:pPr>
            <w:r>
              <w:t>-</w:t>
            </w:r>
          </w:p>
        </w:tc>
      </w:tr>
      <w:tr w:rsidR="00AF51F1" w14:paraId="1C34F119" w14:textId="77777777">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75306" w14:textId="77777777" w:rsidR="00AF51F1" w:rsidRDefault="00711D3C">
            <w:pPr>
              <w:pStyle w:val="09-Bodytext"/>
            </w:pPr>
            <w:r>
              <w:t>Estimated Unfunded benefits paid</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8E573" w14:textId="77777777" w:rsidR="00AF51F1" w:rsidRDefault="00711D3C">
            <w:pPr>
              <w:pStyle w:val="09-Bodytext"/>
              <w:jc w:val="right"/>
            </w:pPr>
            <w:r>
              <w:t>25</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71F34" w14:textId="77777777" w:rsidR="00AF51F1" w:rsidRDefault="00711D3C">
            <w:pPr>
              <w:pStyle w:val="09-Bodytext"/>
              <w:jc w:val="right"/>
            </w:pPr>
            <w:r>
              <w:t>25</w:t>
            </w:r>
          </w:p>
        </w:tc>
      </w:tr>
      <w:tr w:rsidR="00AF51F1" w14:paraId="0A2AE492" w14:textId="77777777">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121271" w14:textId="77777777" w:rsidR="00AF51F1" w:rsidRDefault="00711D3C">
            <w:pPr>
              <w:pStyle w:val="09-Bodytext"/>
            </w:pPr>
            <w:r>
              <w:t>Estimated Benefits paid</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A4207" w14:textId="77777777" w:rsidR="00AF51F1" w:rsidRDefault="00711D3C">
            <w:pPr>
              <w:pStyle w:val="09-Bodytext"/>
              <w:jc w:val="right"/>
            </w:pPr>
            <w:r>
              <w:t>458</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4039A" w14:textId="77777777" w:rsidR="00AF51F1" w:rsidRDefault="00711D3C">
            <w:pPr>
              <w:pStyle w:val="09-Bodytext"/>
              <w:jc w:val="right"/>
            </w:pPr>
            <w:r>
              <w:t>424</w:t>
            </w:r>
          </w:p>
        </w:tc>
      </w:tr>
      <w:tr w:rsidR="00AF51F1" w14:paraId="6FD65520" w14:textId="77777777">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F5C4E" w14:textId="77777777" w:rsidR="00AF51F1" w:rsidRDefault="00711D3C">
            <w:pPr>
              <w:pStyle w:val="09-Bodytext"/>
              <w:rPr>
                <w:b/>
                <w:bCs/>
              </w:rPr>
            </w:pPr>
            <w:r>
              <w:rPr>
                <w:b/>
                <w:bCs/>
              </w:rPr>
              <w:t xml:space="preserve">Closing Balance </w:t>
            </w:r>
            <w:proofErr w:type="gramStart"/>
            <w:r>
              <w:rPr>
                <w:b/>
                <w:bCs/>
              </w:rPr>
              <w:t>at</w:t>
            </w:r>
            <w:proofErr w:type="gramEnd"/>
            <w:r>
              <w:rPr>
                <w:b/>
                <w:bCs/>
              </w:rPr>
              <w:t xml:space="preserve"> 31 March</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4D6B4" w14:textId="77777777" w:rsidR="00AF51F1" w:rsidRDefault="00711D3C">
            <w:pPr>
              <w:pStyle w:val="09-Bodytext"/>
              <w:jc w:val="right"/>
              <w:rPr>
                <w:b/>
                <w:bCs/>
              </w:rPr>
            </w:pPr>
            <w:r>
              <w:rPr>
                <w:b/>
                <w:bCs/>
              </w:rPr>
              <w:t>(31,554)</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DA455" w14:textId="77777777" w:rsidR="00AF51F1" w:rsidRDefault="00711D3C">
            <w:pPr>
              <w:pStyle w:val="09-Bodytext"/>
              <w:jc w:val="right"/>
              <w:rPr>
                <w:b/>
                <w:bCs/>
              </w:rPr>
            </w:pPr>
            <w:r>
              <w:rPr>
                <w:b/>
                <w:bCs/>
              </w:rPr>
              <w:t>(32,593)</w:t>
            </w:r>
          </w:p>
        </w:tc>
      </w:tr>
    </w:tbl>
    <w:p w14:paraId="0C8C9D65" w14:textId="77777777" w:rsidR="00AF51F1" w:rsidRDefault="00AF51F1">
      <w:pPr>
        <w:pStyle w:val="09-Bodytext"/>
      </w:pPr>
    </w:p>
    <w:p w14:paraId="097EED68" w14:textId="77777777" w:rsidR="00AF51F1" w:rsidRDefault="00711D3C">
      <w:pPr>
        <w:pStyle w:val="09-Bodytext"/>
      </w:pPr>
      <w:r>
        <w:t>A reconciliation of the movement in the Board’s share of the fair value of the Fund’s assets is as follows:</w:t>
      </w:r>
    </w:p>
    <w:p w14:paraId="65666DB8" w14:textId="77777777" w:rsidR="00AF51F1" w:rsidRDefault="00AF51F1">
      <w:pPr>
        <w:pStyle w:val="09-Bodytext"/>
        <w:rPr>
          <w:shd w:val="clear" w:color="auto" w:fill="FFFF00"/>
        </w:rPr>
      </w:pPr>
    </w:p>
    <w:tbl>
      <w:tblPr>
        <w:tblW w:w="5000" w:type="pct"/>
        <w:tblCellMar>
          <w:left w:w="10" w:type="dxa"/>
          <w:right w:w="10" w:type="dxa"/>
        </w:tblCellMar>
        <w:tblLook w:val="0000" w:firstRow="0" w:lastRow="0" w:firstColumn="0" w:lastColumn="0" w:noHBand="0" w:noVBand="0"/>
      </w:tblPr>
      <w:tblGrid>
        <w:gridCol w:w="6232"/>
        <w:gridCol w:w="1417"/>
        <w:gridCol w:w="1367"/>
      </w:tblGrid>
      <w:tr w:rsidR="00AF51F1" w14:paraId="29D3CC0A" w14:textId="77777777">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C1BDD" w14:textId="77777777" w:rsidR="00AF51F1" w:rsidRDefault="00AF51F1">
            <w:pPr>
              <w:pStyle w:val="09-Bodytext"/>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5B5F8" w14:textId="77777777" w:rsidR="00AF51F1" w:rsidRDefault="00711D3C">
            <w:pPr>
              <w:pStyle w:val="09-Bodytext"/>
              <w:jc w:val="right"/>
              <w:rPr>
                <w:b/>
                <w:bCs/>
              </w:rPr>
            </w:pPr>
            <w:r>
              <w:rPr>
                <w:b/>
                <w:bCs/>
              </w:rPr>
              <w:t>2021/22</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2A5E9" w14:textId="77777777" w:rsidR="00AF51F1" w:rsidRDefault="00711D3C">
            <w:pPr>
              <w:pStyle w:val="09-Bodytext"/>
              <w:jc w:val="right"/>
              <w:rPr>
                <w:b/>
                <w:bCs/>
              </w:rPr>
            </w:pPr>
            <w:r>
              <w:rPr>
                <w:b/>
                <w:bCs/>
              </w:rPr>
              <w:t>2020/21</w:t>
            </w:r>
          </w:p>
        </w:tc>
      </w:tr>
      <w:tr w:rsidR="00AF51F1" w14:paraId="4CCD9713" w14:textId="77777777">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760CB" w14:textId="77777777" w:rsidR="00AF51F1" w:rsidRDefault="00AF51F1">
            <w:pPr>
              <w:pStyle w:val="09-Bodytext"/>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91852" w14:textId="77777777" w:rsidR="00AF51F1" w:rsidRDefault="00711D3C">
            <w:pPr>
              <w:pStyle w:val="09-Bodytext"/>
              <w:jc w:val="right"/>
              <w:rPr>
                <w:b/>
                <w:bCs/>
              </w:rPr>
            </w:pPr>
            <w:r>
              <w:rPr>
                <w:b/>
                <w:bCs/>
              </w:rPr>
              <w:t>£000</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6F40E" w14:textId="77777777" w:rsidR="00AF51F1" w:rsidRDefault="00711D3C">
            <w:pPr>
              <w:pStyle w:val="09-Bodytext"/>
              <w:jc w:val="right"/>
              <w:rPr>
                <w:b/>
                <w:bCs/>
              </w:rPr>
            </w:pPr>
            <w:r>
              <w:rPr>
                <w:b/>
                <w:bCs/>
              </w:rPr>
              <w:t>£000</w:t>
            </w:r>
          </w:p>
        </w:tc>
      </w:tr>
      <w:tr w:rsidR="00AF51F1" w14:paraId="25478FED" w14:textId="77777777">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99384" w14:textId="77777777" w:rsidR="00AF51F1" w:rsidRDefault="00711D3C">
            <w:pPr>
              <w:pStyle w:val="09-Bodytext"/>
            </w:pPr>
            <w:r>
              <w:t>Opening Fair Value of Pension Fund Assets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CD9BE" w14:textId="77777777" w:rsidR="00AF51F1" w:rsidRDefault="00711D3C">
            <w:pPr>
              <w:pStyle w:val="09-Bodytext"/>
              <w:jc w:val="right"/>
            </w:pPr>
            <w:r>
              <w:t>30,393</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9F6A2" w14:textId="77777777" w:rsidR="00AF51F1" w:rsidRDefault="00711D3C">
            <w:pPr>
              <w:pStyle w:val="09-Bodytext"/>
              <w:jc w:val="right"/>
            </w:pPr>
            <w:r>
              <w:t>25,238</w:t>
            </w:r>
          </w:p>
        </w:tc>
      </w:tr>
      <w:tr w:rsidR="00AF51F1" w14:paraId="1219C35A" w14:textId="77777777">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9404D" w14:textId="77777777" w:rsidR="00AF51F1" w:rsidRDefault="00711D3C">
            <w:pPr>
              <w:pStyle w:val="09-Bodytext"/>
            </w:pPr>
            <w:r>
              <w:t>Interest Income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4B591" w14:textId="77777777" w:rsidR="00AF51F1" w:rsidRDefault="00711D3C">
            <w:pPr>
              <w:pStyle w:val="09-Bodytext"/>
              <w:jc w:val="right"/>
            </w:pPr>
            <w:r>
              <w:t>608</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67596" w14:textId="77777777" w:rsidR="00AF51F1" w:rsidRDefault="00711D3C">
            <w:pPr>
              <w:pStyle w:val="09-Bodytext"/>
              <w:jc w:val="right"/>
            </w:pPr>
            <w:r>
              <w:t>581</w:t>
            </w:r>
          </w:p>
        </w:tc>
      </w:tr>
      <w:tr w:rsidR="00AF51F1" w14:paraId="6296CF08" w14:textId="77777777">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80E98" w14:textId="77777777" w:rsidR="00AF51F1" w:rsidRDefault="00711D3C">
            <w:pPr>
              <w:pStyle w:val="09-Bodytext"/>
            </w:pPr>
            <w:r>
              <w:t>Re-measurement gains and (losses)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487DB" w14:textId="77777777" w:rsidR="00AF51F1" w:rsidRDefault="00AF51F1">
            <w:pPr>
              <w:pStyle w:val="09-Bodytext"/>
              <w:jc w:val="right"/>
            </w:pP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C9D9A" w14:textId="77777777" w:rsidR="00AF51F1" w:rsidRDefault="00AF51F1">
            <w:pPr>
              <w:pStyle w:val="09-Bodytext"/>
              <w:jc w:val="right"/>
            </w:pPr>
          </w:p>
        </w:tc>
      </w:tr>
      <w:tr w:rsidR="00AF51F1" w14:paraId="7D0D2598" w14:textId="77777777">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1634C" w14:textId="77777777" w:rsidR="00AF51F1" w:rsidRDefault="00711D3C">
            <w:pPr>
              <w:pStyle w:val="09-Bodytext"/>
            </w:pPr>
            <w:r>
              <w:t>expected return on pension fund assets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B46A8" w14:textId="77777777" w:rsidR="00AF51F1" w:rsidRDefault="00711D3C">
            <w:pPr>
              <w:pStyle w:val="09-Bodytext"/>
              <w:jc w:val="right"/>
            </w:pPr>
            <w:r>
              <w:t>1,732</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27205" w14:textId="77777777" w:rsidR="00AF51F1" w:rsidRDefault="00711D3C">
            <w:pPr>
              <w:pStyle w:val="09-Bodytext"/>
              <w:jc w:val="right"/>
            </w:pPr>
            <w:r>
              <w:t>5,759</w:t>
            </w:r>
          </w:p>
        </w:tc>
      </w:tr>
      <w:tr w:rsidR="00AF51F1" w14:paraId="265346C6" w14:textId="77777777">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83B1D" w14:textId="77777777" w:rsidR="00AF51F1" w:rsidRDefault="00711D3C">
            <w:pPr>
              <w:pStyle w:val="09-Bodytext"/>
            </w:pPr>
            <w:r>
              <w:t>actuarial gains and losses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0D453" w14:textId="77777777" w:rsidR="00AF51F1" w:rsidRDefault="00711D3C">
            <w:pPr>
              <w:pStyle w:val="09-Bodytext"/>
              <w:jc w:val="right"/>
            </w:pPr>
            <w:r>
              <w: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E59AF" w14:textId="77777777" w:rsidR="00AF51F1" w:rsidRDefault="00711D3C">
            <w:pPr>
              <w:pStyle w:val="09-Bodytext"/>
              <w:jc w:val="right"/>
            </w:pPr>
            <w:r>
              <w:t>-</w:t>
            </w:r>
          </w:p>
        </w:tc>
      </w:tr>
      <w:tr w:rsidR="00AF51F1" w14:paraId="0B957690" w14:textId="77777777">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ED63F" w14:textId="77777777" w:rsidR="00AF51F1" w:rsidRDefault="00711D3C">
            <w:pPr>
              <w:pStyle w:val="09-Bodytext"/>
            </w:pPr>
            <w:r>
              <w:t>other experiences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E1132" w14:textId="77777777" w:rsidR="00AF51F1" w:rsidRDefault="00711D3C">
            <w:pPr>
              <w:pStyle w:val="09-Bodytext"/>
              <w:jc w:val="right"/>
            </w:pPr>
            <w:r>
              <w: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66AA0" w14:textId="77777777" w:rsidR="00AF51F1" w:rsidRDefault="00711D3C">
            <w:pPr>
              <w:pStyle w:val="09-Bodytext"/>
              <w:jc w:val="right"/>
            </w:pPr>
            <w:r>
              <w:t>(1,289)</w:t>
            </w:r>
          </w:p>
        </w:tc>
      </w:tr>
      <w:tr w:rsidR="00AF51F1" w14:paraId="57223402" w14:textId="77777777">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21E4B" w14:textId="77777777" w:rsidR="00AF51F1" w:rsidRDefault="00711D3C">
            <w:pPr>
              <w:pStyle w:val="09-Bodytext"/>
            </w:pPr>
            <w:r>
              <w:t>The effect of changes in foreign exchange rates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114FE" w14:textId="77777777" w:rsidR="00AF51F1" w:rsidRDefault="00711D3C">
            <w:pPr>
              <w:pStyle w:val="09-Bodytext"/>
              <w:jc w:val="right"/>
            </w:pPr>
            <w:r>
              <w: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EFD90" w14:textId="77777777" w:rsidR="00AF51F1" w:rsidRDefault="00711D3C">
            <w:pPr>
              <w:pStyle w:val="09-Bodytext"/>
              <w:jc w:val="right"/>
            </w:pPr>
            <w:r>
              <w:t>-</w:t>
            </w:r>
          </w:p>
        </w:tc>
      </w:tr>
      <w:tr w:rsidR="00AF51F1" w14:paraId="1023967B" w14:textId="77777777">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2217E" w14:textId="77777777" w:rsidR="00AF51F1" w:rsidRDefault="00711D3C">
            <w:pPr>
              <w:pStyle w:val="09-Bodytext"/>
            </w:pPr>
            <w:r>
              <w:t>Contributions by members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BC6C6" w14:textId="77777777" w:rsidR="00AF51F1" w:rsidRDefault="00711D3C">
            <w:pPr>
              <w:pStyle w:val="09-Bodytext"/>
              <w:jc w:val="right"/>
            </w:pPr>
            <w:r>
              <w:t>142</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57843" w14:textId="77777777" w:rsidR="00AF51F1" w:rsidRDefault="00711D3C">
            <w:pPr>
              <w:pStyle w:val="09-Bodytext"/>
              <w:jc w:val="right"/>
            </w:pPr>
            <w:r>
              <w:t>135</w:t>
            </w:r>
          </w:p>
        </w:tc>
      </w:tr>
      <w:tr w:rsidR="00AF51F1" w14:paraId="1E231D41" w14:textId="77777777">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0B524" w14:textId="77777777" w:rsidR="00AF51F1" w:rsidRDefault="00711D3C">
            <w:pPr>
              <w:pStyle w:val="09-Bodytext"/>
            </w:pPr>
            <w:r>
              <w:t>Contributions by the employer</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1F25A" w14:textId="77777777" w:rsidR="00AF51F1" w:rsidRDefault="00711D3C">
            <w:pPr>
              <w:pStyle w:val="09-Bodytext"/>
              <w:jc w:val="right"/>
            </w:pPr>
            <w:r>
              <w:t>410</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B6373" w14:textId="77777777" w:rsidR="00AF51F1" w:rsidRDefault="00711D3C">
            <w:pPr>
              <w:pStyle w:val="09-Bodytext"/>
              <w:jc w:val="right"/>
            </w:pPr>
            <w:r>
              <w:t>393</w:t>
            </w:r>
          </w:p>
        </w:tc>
      </w:tr>
      <w:tr w:rsidR="00AF51F1" w14:paraId="473FF19C" w14:textId="77777777">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5FE5C" w14:textId="77777777" w:rsidR="00AF51F1" w:rsidRDefault="00711D3C">
            <w:pPr>
              <w:pStyle w:val="09-Bodytext"/>
            </w:pPr>
            <w:r>
              <w:t>Contributions in respect of Unfunded Benefits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BEEA9" w14:textId="77777777" w:rsidR="00AF51F1" w:rsidRDefault="00711D3C">
            <w:pPr>
              <w:pStyle w:val="09-Bodytext"/>
              <w:jc w:val="right"/>
            </w:pPr>
            <w:r>
              <w:t>25</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1F77B2" w14:textId="77777777" w:rsidR="00AF51F1" w:rsidRDefault="00711D3C">
            <w:pPr>
              <w:pStyle w:val="09-Bodytext"/>
              <w:jc w:val="right"/>
            </w:pPr>
            <w:r>
              <w:t>25</w:t>
            </w:r>
          </w:p>
        </w:tc>
      </w:tr>
      <w:tr w:rsidR="00AF51F1" w14:paraId="19729A15" w14:textId="77777777">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4BC1E" w14:textId="77777777" w:rsidR="00AF51F1" w:rsidRDefault="00711D3C">
            <w:pPr>
              <w:pStyle w:val="09-Bodytext"/>
            </w:pPr>
            <w:r>
              <w:t>Benefits Paid</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1D1EB" w14:textId="77777777" w:rsidR="00AF51F1" w:rsidRDefault="00711D3C">
            <w:pPr>
              <w:pStyle w:val="09-Bodytext"/>
              <w:jc w:val="right"/>
            </w:pPr>
            <w:r>
              <w:t>(483)</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F0A80" w14:textId="77777777" w:rsidR="00AF51F1" w:rsidRDefault="00711D3C">
            <w:pPr>
              <w:pStyle w:val="09-Bodytext"/>
              <w:jc w:val="right"/>
            </w:pPr>
            <w:r>
              <w:t>(449)</w:t>
            </w:r>
          </w:p>
        </w:tc>
      </w:tr>
      <w:tr w:rsidR="00AF51F1" w14:paraId="0983D1A8" w14:textId="77777777">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DD957" w14:textId="77777777" w:rsidR="00AF51F1" w:rsidRDefault="00711D3C">
            <w:pPr>
              <w:pStyle w:val="09-Bodytext"/>
              <w:rPr>
                <w:b/>
                <w:bCs/>
              </w:rPr>
            </w:pPr>
            <w:r>
              <w:rPr>
                <w:b/>
                <w:bCs/>
              </w:rPr>
              <w:t>Closing Fair Value of the Scheme Assets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7C3E9" w14:textId="77777777" w:rsidR="00AF51F1" w:rsidRDefault="00711D3C">
            <w:pPr>
              <w:pStyle w:val="09-Bodytext"/>
              <w:jc w:val="right"/>
              <w:rPr>
                <w:b/>
                <w:bCs/>
              </w:rPr>
            </w:pPr>
            <w:r>
              <w:rPr>
                <w:b/>
                <w:bCs/>
              </w:rPr>
              <w:t>32,827</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38B4D" w14:textId="77777777" w:rsidR="00AF51F1" w:rsidRDefault="00711D3C">
            <w:pPr>
              <w:pStyle w:val="09-Bodytext"/>
              <w:jc w:val="right"/>
              <w:rPr>
                <w:b/>
                <w:bCs/>
              </w:rPr>
            </w:pPr>
            <w:r>
              <w:rPr>
                <w:b/>
                <w:bCs/>
              </w:rPr>
              <w:t>30,393</w:t>
            </w:r>
          </w:p>
        </w:tc>
      </w:tr>
    </w:tbl>
    <w:p w14:paraId="210ED4DA" w14:textId="77777777" w:rsidR="00AF51F1" w:rsidRDefault="00AF51F1">
      <w:pPr>
        <w:pStyle w:val="09-Bodytext"/>
        <w:rPr>
          <w:shd w:val="clear" w:color="auto" w:fill="FFFF00"/>
        </w:rPr>
      </w:pPr>
    </w:p>
    <w:p w14:paraId="3981AB5F" w14:textId="60AD5E01" w:rsidR="00F8584A" w:rsidRDefault="00F8584A">
      <w:pPr>
        <w:suppressAutoHyphens w:val="0"/>
        <w:rPr>
          <w:sz w:val="22"/>
          <w:szCs w:val="20"/>
        </w:rPr>
      </w:pPr>
      <w:r>
        <w:br w:type="page"/>
      </w:r>
    </w:p>
    <w:p w14:paraId="3E9823D1" w14:textId="77777777" w:rsidR="00AF51F1" w:rsidRDefault="00711D3C">
      <w:pPr>
        <w:pStyle w:val="09-Bodytext"/>
        <w:rPr>
          <w:b/>
          <w:bCs/>
        </w:rPr>
      </w:pPr>
      <w:r>
        <w:rPr>
          <w:b/>
          <w:bCs/>
        </w:rPr>
        <w:lastRenderedPageBreak/>
        <w:t>Analysis of Pension Fund Assets</w:t>
      </w:r>
    </w:p>
    <w:p w14:paraId="6DA2EDA0" w14:textId="77777777" w:rsidR="00AF51F1" w:rsidRDefault="00AF51F1">
      <w:pPr>
        <w:pStyle w:val="09-Bodytext"/>
        <w:rPr>
          <w:shd w:val="clear" w:color="auto" w:fill="FFFF00"/>
        </w:rPr>
      </w:pPr>
    </w:p>
    <w:tbl>
      <w:tblPr>
        <w:tblW w:w="5000" w:type="pct"/>
        <w:tblCellMar>
          <w:left w:w="10" w:type="dxa"/>
          <w:right w:w="10" w:type="dxa"/>
        </w:tblCellMar>
        <w:tblLook w:val="0000" w:firstRow="0" w:lastRow="0" w:firstColumn="0" w:lastColumn="0" w:noHBand="0" w:noVBand="0"/>
      </w:tblPr>
      <w:tblGrid>
        <w:gridCol w:w="2630"/>
        <w:gridCol w:w="1060"/>
        <w:gridCol w:w="1060"/>
        <w:gridCol w:w="1073"/>
        <w:gridCol w:w="1060"/>
        <w:gridCol w:w="1060"/>
        <w:gridCol w:w="1073"/>
      </w:tblGrid>
      <w:tr w:rsidR="00AF51F1" w14:paraId="2AA7AAAE" w14:textId="77777777">
        <w:tc>
          <w:tcPr>
            <w:tcW w:w="2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31820" w14:textId="77777777" w:rsidR="00AF51F1" w:rsidRDefault="00AF51F1">
            <w:pPr>
              <w:pStyle w:val="09-Bodytext"/>
            </w:pP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146FD" w14:textId="77777777" w:rsidR="00AF51F1" w:rsidRDefault="00AF51F1">
            <w:pPr>
              <w:pStyle w:val="09-Bodytext"/>
              <w:jc w:val="right"/>
              <w:rPr>
                <w:b/>
                <w:bCs/>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D16B4" w14:textId="77777777" w:rsidR="00AF51F1" w:rsidRDefault="00AF51F1">
            <w:pPr>
              <w:pStyle w:val="09-Bodytext"/>
              <w:jc w:val="right"/>
              <w:rPr>
                <w:b/>
                <w:bCs/>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CB31B" w14:textId="77777777" w:rsidR="00AF51F1" w:rsidRDefault="00711D3C">
            <w:pPr>
              <w:pStyle w:val="09-Bodytext"/>
              <w:jc w:val="right"/>
              <w:rPr>
                <w:b/>
                <w:bCs/>
              </w:rPr>
            </w:pPr>
            <w:r>
              <w:rPr>
                <w:b/>
                <w:bCs/>
              </w:rPr>
              <w:t>31/03/22</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00A18" w14:textId="77777777" w:rsidR="00AF51F1" w:rsidRDefault="00AF51F1">
            <w:pPr>
              <w:pStyle w:val="09-Bodytext"/>
              <w:jc w:val="right"/>
              <w:rPr>
                <w:b/>
                <w:bCs/>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01B26" w14:textId="77777777" w:rsidR="00AF51F1" w:rsidRDefault="00AF51F1">
            <w:pPr>
              <w:pStyle w:val="09-Bodytext"/>
              <w:jc w:val="right"/>
              <w:rPr>
                <w:b/>
                <w:bCs/>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E783E" w14:textId="77777777" w:rsidR="00AF51F1" w:rsidRDefault="00711D3C">
            <w:pPr>
              <w:pStyle w:val="09-Bodytext"/>
              <w:jc w:val="right"/>
              <w:rPr>
                <w:b/>
                <w:bCs/>
              </w:rPr>
            </w:pPr>
            <w:r>
              <w:rPr>
                <w:b/>
                <w:bCs/>
              </w:rPr>
              <w:t>31/03/21</w:t>
            </w:r>
          </w:p>
        </w:tc>
      </w:tr>
      <w:tr w:rsidR="00AF51F1" w14:paraId="5A8E1D88" w14:textId="77777777">
        <w:tc>
          <w:tcPr>
            <w:tcW w:w="2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BABF9" w14:textId="77777777" w:rsidR="00AF51F1" w:rsidRDefault="00AF51F1">
            <w:pPr>
              <w:pStyle w:val="09-Bodytext"/>
            </w:pP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17CB2" w14:textId="77777777" w:rsidR="00AF51F1" w:rsidRDefault="00711D3C">
            <w:pPr>
              <w:pStyle w:val="09-Bodytext"/>
              <w:jc w:val="right"/>
              <w:rPr>
                <w:b/>
                <w:bCs/>
              </w:rPr>
            </w:pPr>
            <w:r>
              <w:rPr>
                <w:b/>
                <w:bCs/>
              </w:rPr>
              <w:t>Quoted prices in active markets</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9A1A3" w14:textId="77777777" w:rsidR="00AF51F1" w:rsidRDefault="00711D3C">
            <w:pPr>
              <w:pStyle w:val="09-Bodytext"/>
              <w:jc w:val="right"/>
              <w:rPr>
                <w:b/>
                <w:bCs/>
              </w:rPr>
            </w:pPr>
            <w:r>
              <w:rPr>
                <w:b/>
                <w:bCs/>
              </w:rPr>
              <w:t>Quoted prices not in active markets</w:t>
            </w: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AD669" w14:textId="77777777" w:rsidR="00AF51F1" w:rsidRDefault="00711D3C">
            <w:pPr>
              <w:pStyle w:val="09-Bodytext"/>
              <w:jc w:val="right"/>
              <w:rPr>
                <w:b/>
                <w:bCs/>
              </w:rPr>
            </w:pPr>
            <w:r>
              <w:rPr>
                <w:b/>
                <w:bCs/>
              </w:rPr>
              <w:t>Total</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05F12" w14:textId="77777777" w:rsidR="00AF51F1" w:rsidRDefault="00711D3C">
            <w:pPr>
              <w:pStyle w:val="09-Bodytext"/>
              <w:jc w:val="right"/>
              <w:rPr>
                <w:b/>
                <w:bCs/>
              </w:rPr>
            </w:pPr>
            <w:r>
              <w:rPr>
                <w:b/>
                <w:bCs/>
              </w:rPr>
              <w:t>Quoted prices in active markets</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C2915" w14:textId="77777777" w:rsidR="00AF51F1" w:rsidRDefault="00711D3C">
            <w:pPr>
              <w:pStyle w:val="09-Bodytext"/>
              <w:jc w:val="right"/>
              <w:rPr>
                <w:b/>
                <w:bCs/>
              </w:rPr>
            </w:pPr>
            <w:r>
              <w:rPr>
                <w:b/>
                <w:bCs/>
              </w:rPr>
              <w:t>Quoted prices not in active markets</w:t>
            </w: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0C18E" w14:textId="77777777" w:rsidR="00AF51F1" w:rsidRDefault="00711D3C">
            <w:pPr>
              <w:pStyle w:val="09-Bodytext"/>
              <w:jc w:val="right"/>
              <w:rPr>
                <w:b/>
                <w:bCs/>
              </w:rPr>
            </w:pPr>
            <w:r>
              <w:rPr>
                <w:b/>
                <w:bCs/>
              </w:rPr>
              <w:t>Total</w:t>
            </w:r>
          </w:p>
        </w:tc>
      </w:tr>
      <w:tr w:rsidR="00AF51F1" w14:paraId="05C2EDBB" w14:textId="77777777">
        <w:tc>
          <w:tcPr>
            <w:tcW w:w="2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FC60C" w14:textId="77777777" w:rsidR="00AF51F1" w:rsidRDefault="00AF51F1">
            <w:pPr>
              <w:pStyle w:val="09-Bodytext"/>
            </w:pP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D7375" w14:textId="77777777" w:rsidR="00AF51F1" w:rsidRDefault="00711D3C">
            <w:pPr>
              <w:pStyle w:val="09-Bodytext"/>
              <w:jc w:val="right"/>
              <w:rPr>
                <w:b/>
                <w:bCs/>
              </w:rPr>
            </w:pPr>
            <w:r>
              <w:rPr>
                <w:b/>
                <w:bCs/>
              </w:rPr>
              <w:t>£000</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312B7" w14:textId="77777777" w:rsidR="00AF51F1" w:rsidRDefault="00711D3C">
            <w:pPr>
              <w:pStyle w:val="09-Bodytext"/>
              <w:jc w:val="right"/>
              <w:rPr>
                <w:b/>
                <w:bCs/>
              </w:rPr>
            </w:pPr>
            <w:r>
              <w:rPr>
                <w:b/>
                <w:bCs/>
              </w:rPr>
              <w:t>£000</w:t>
            </w: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1CDB3" w14:textId="77777777" w:rsidR="00AF51F1" w:rsidRDefault="00711D3C">
            <w:pPr>
              <w:pStyle w:val="09-Bodytext"/>
              <w:jc w:val="right"/>
              <w:rPr>
                <w:b/>
                <w:bCs/>
              </w:rPr>
            </w:pPr>
            <w:r>
              <w:rPr>
                <w:b/>
                <w:bCs/>
              </w:rPr>
              <w:t>£000</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D0FFD" w14:textId="77777777" w:rsidR="00AF51F1" w:rsidRDefault="00711D3C">
            <w:pPr>
              <w:pStyle w:val="09-Bodytext"/>
              <w:jc w:val="right"/>
              <w:rPr>
                <w:b/>
                <w:bCs/>
              </w:rPr>
            </w:pPr>
            <w:r>
              <w:rPr>
                <w:b/>
                <w:bCs/>
              </w:rPr>
              <w:t>£000</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B2D15" w14:textId="77777777" w:rsidR="00AF51F1" w:rsidRDefault="00711D3C">
            <w:pPr>
              <w:pStyle w:val="09-Bodytext"/>
              <w:jc w:val="right"/>
              <w:rPr>
                <w:b/>
                <w:bCs/>
              </w:rPr>
            </w:pPr>
            <w:r>
              <w:rPr>
                <w:b/>
                <w:bCs/>
              </w:rPr>
              <w:t>£000</w:t>
            </w: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D661B" w14:textId="77777777" w:rsidR="00AF51F1" w:rsidRDefault="00711D3C">
            <w:pPr>
              <w:pStyle w:val="09-Bodytext"/>
              <w:jc w:val="right"/>
              <w:rPr>
                <w:b/>
                <w:bCs/>
              </w:rPr>
            </w:pPr>
            <w:r>
              <w:rPr>
                <w:b/>
                <w:bCs/>
              </w:rPr>
              <w:t>£000</w:t>
            </w:r>
          </w:p>
        </w:tc>
      </w:tr>
      <w:tr w:rsidR="00AF51F1" w14:paraId="554525CB" w14:textId="77777777">
        <w:tc>
          <w:tcPr>
            <w:tcW w:w="2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6E332" w14:textId="77777777" w:rsidR="00AF51F1" w:rsidRDefault="00711D3C">
            <w:pPr>
              <w:pStyle w:val="09-Bodytext"/>
            </w:pPr>
            <w:r>
              <w:t>Cash and Cash Equivalents</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6BAD9" w14:textId="77777777" w:rsidR="00AF51F1" w:rsidRDefault="00711D3C">
            <w:pPr>
              <w:pStyle w:val="09-Bodytext"/>
              <w:jc w:val="right"/>
            </w:pPr>
            <w:r>
              <w:t>824</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AEDD3" w14:textId="77777777" w:rsidR="00AF51F1" w:rsidRDefault="00711D3C">
            <w:pPr>
              <w:pStyle w:val="09-Bodytext"/>
              <w:jc w:val="right"/>
            </w:pPr>
            <w:r>
              <w:t>11</w:t>
            </w: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28D13" w14:textId="77777777" w:rsidR="00AF51F1" w:rsidRDefault="00711D3C">
            <w:pPr>
              <w:pStyle w:val="09-Bodytext"/>
              <w:jc w:val="right"/>
            </w:pPr>
            <w:r>
              <w:t>835</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AC813" w14:textId="77777777" w:rsidR="00AF51F1" w:rsidRDefault="00711D3C">
            <w:pPr>
              <w:pStyle w:val="09-Bodytext"/>
              <w:jc w:val="right"/>
            </w:pPr>
            <w:r>
              <w:t>490</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A6742" w14:textId="77777777" w:rsidR="00AF51F1" w:rsidRDefault="00711D3C">
            <w:pPr>
              <w:pStyle w:val="09-Bodytext"/>
              <w:jc w:val="right"/>
            </w:pPr>
            <w:r>
              <w:t>21</w:t>
            </w: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80719" w14:textId="77777777" w:rsidR="00AF51F1" w:rsidRDefault="00711D3C">
            <w:pPr>
              <w:pStyle w:val="09-Bodytext"/>
              <w:jc w:val="right"/>
            </w:pPr>
            <w:r>
              <w:t>511</w:t>
            </w:r>
          </w:p>
        </w:tc>
      </w:tr>
      <w:tr w:rsidR="00AF51F1" w14:paraId="4E99021E" w14:textId="77777777">
        <w:tc>
          <w:tcPr>
            <w:tcW w:w="2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7C32C" w14:textId="77777777" w:rsidR="00AF51F1" w:rsidRDefault="00711D3C">
            <w:pPr>
              <w:pStyle w:val="09-Bodytext"/>
            </w:pPr>
            <w:r>
              <w:t>Equity Instruments</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75471" w14:textId="77777777" w:rsidR="00AF51F1" w:rsidRDefault="00711D3C">
            <w:pPr>
              <w:pStyle w:val="09-Bodytext"/>
              <w:jc w:val="right"/>
            </w:pPr>
            <w:r>
              <w:t>7,218</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F2448" w14:textId="77777777" w:rsidR="00AF51F1" w:rsidRDefault="00711D3C">
            <w:pPr>
              <w:pStyle w:val="09-Bodytext"/>
              <w:jc w:val="right"/>
            </w:pPr>
            <w:r>
              <w:t>16</w:t>
            </w: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F9E99" w14:textId="77777777" w:rsidR="00AF51F1" w:rsidRDefault="00711D3C">
            <w:pPr>
              <w:pStyle w:val="09-Bodytext"/>
              <w:jc w:val="right"/>
            </w:pPr>
            <w:r>
              <w:t>7,234</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42625" w14:textId="77777777" w:rsidR="00AF51F1" w:rsidRDefault="00711D3C">
            <w:pPr>
              <w:pStyle w:val="09-Bodytext"/>
              <w:jc w:val="right"/>
            </w:pPr>
            <w:r>
              <w:t>7,099</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85871" w14:textId="77777777" w:rsidR="00AF51F1" w:rsidRDefault="00711D3C">
            <w:pPr>
              <w:pStyle w:val="09-Bodytext"/>
              <w:jc w:val="right"/>
            </w:pPr>
            <w:r>
              <w:t>33</w:t>
            </w: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5E2C1" w14:textId="77777777" w:rsidR="00AF51F1" w:rsidRDefault="00711D3C">
            <w:pPr>
              <w:pStyle w:val="09-Bodytext"/>
              <w:jc w:val="right"/>
            </w:pPr>
            <w:r>
              <w:t>7,132</w:t>
            </w:r>
          </w:p>
        </w:tc>
      </w:tr>
      <w:tr w:rsidR="00AF51F1" w14:paraId="5FC8E780" w14:textId="77777777">
        <w:tc>
          <w:tcPr>
            <w:tcW w:w="2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32A6A" w14:textId="77777777" w:rsidR="00AF51F1" w:rsidRDefault="00711D3C">
            <w:pPr>
              <w:pStyle w:val="09-Bodytext"/>
            </w:pPr>
            <w:r>
              <w:t>Debt Instruments</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F0577" w14:textId="77777777" w:rsidR="00AF51F1" w:rsidRDefault="00711D3C">
            <w:pPr>
              <w:pStyle w:val="09-Bodytext"/>
              <w:jc w:val="right"/>
            </w:pPr>
            <w:r>
              <w:t>0</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181B8" w14:textId="77777777" w:rsidR="00AF51F1" w:rsidRDefault="00711D3C">
            <w:pPr>
              <w:pStyle w:val="09-Bodytext"/>
              <w:jc w:val="right"/>
            </w:pPr>
            <w:r>
              <w:t>0</w:t>
            </w: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A415D" w14:textId="77777777" w:rsidR="00AF51F1" w:rsidRDefault="00711D3C">
            <w:pPr>
              <w:pStyle w:val="09-Bodytext"/>
              <w:jc w:val="right"/>
            </w:pPr>
            <w:r>
              <w:t>0</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A7E9B" w14:textId="77777777" w:rsidR="00AF51F1" w:rsidRDefault="00711D3C">
            <w:pPr>
              <w:pStyle w:val="09-Bodytext"/>
              <w:jc w:val="right"/>
            </w:pPr>
            <w:r>
              <w:t>0</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7B07C" w14:textId="77777777" w:rsidR="00AF51F1" w:rsidRDefault="00711D3C">
            <w:pPr>
              <w:pStyle w:val="09-Bodytext"/>
              <w:jc w:val="right"/>
            </w:pPr>
            <w:r>
              <w:t>0</w:t>
            </w: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A7D62" w14:textId="77777777" w:rsidR="00AF51F1" w:rsidRDefault="00711D3C">
            <w:pPr>
              <w:pStyle w:val="09-Bodytext"/>
              <w:jc w:val="right"/>
            </w:pPr>
            <w:r>
              <w:t>0</w:t>
            </w:r>
          </w:p>
        </w:tc>
      </w:tr>
      <w:tr w:rsidR="00AF51F1" w14:paraId="4E94D736" w14:textId="77777777">
        <w:tc>
          <w:tcPr>
            <w:tcW w:w="2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5FD9B" w14:textId="77777777" w:rsidR="00AF51F1" w:rsidRDefault="00711D3C">
            <w:pPr>
              <w:pStyle w:val="09-Bodytext"/>
            </w:pPr>
            <w:r>
              <w:t>Real Estate</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EF090" w14:textId="77777777" w:rsidR="00AF51F1" w:rsidRDefault="00711D3C">
            <w:pPr>
              <w:pStyle w:val="09-Bodytext"/>
              <w:jc w:val="right"/>
            </w:pPr>
            <w:r>
              <w:t>0</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F8233" w14:textId="77777777" w:rsidR="00AF51F1" w:rsidRDefault="00711D3C">
            <w:pPr>
              <w:pStyle w:val="09-Bodytext"/>
              <w:jc w:val="right"/>
            </w:pPr>
            <w:r>
              <w:t>2,768</w:t>
            </w: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2E015" w14:textId="77777777" w:rsidR="00AF51F1" w:rsidRDefault="00711D3C">
            <w:pPr>
              <w:pStyle w:val="09-Bodytext"/>
              <w:jc w:val="right"/>
            </w:pPr>
            <w:r>
              <w:t>2,768</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B3B5A" w14:textId="77777777" w:rsidR="00AF51F1" w:rsidRDefault="00711D3C">
            <w:pPr>
              <w:pStyle w:val="09-Bodytext"/>
              <w:jc w:val="right"/>
            </w:pPr>
            <w:r>
              <w:t>0</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0CE9A" w14:textId="77777777" w:rsidR="00AF51F1" w:rsidRDefault="00711D3C">
            <w:pPr>
              <w:pStyle w:val="09-Bodytext"/>
              <w:jc w:val="right"/>
            </w:pPr>
            <w:r>
              <w:t>2,462</w:t>
            </w: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2BACB" w14:textId="77777777" w:rsidR="00AF51F1" w:rsidRDefault="00711D3C">
            <w:pPr>
              <w:pStyle w:val="09-Bodytext"/>
              <w:jc w:val="right"/>
            </w:pPr>
            <w:r>
              <w:t>2,462</w:t>
            </w:r>
          </w:p>
        </w:tc>
      </w:tr>
      <w:tr w:rsidR="00AF51F1" w14:paraId="12E26CC6" w14:textId="77777777">
        <w:tc>
          <w:tcPr>
            <w:tcW w:w="2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107D0" w14:textId="77777777" w:rsidR="00AF51F1" w:rsidRDefault="00711D3C">
            <w:pPr>
              <w:pStyle w:val="09-Bodytext"/>
            </w:pPr>
            <w:r>
              <w:t>Derivatives</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57E33" w14:textId="77777777" w:rsidR="00AF51F1" w:rsidRDefault="00711D3C">
            <w:pPr>
              <w:pStyle w:val="09-Bodytext"/>
              <w:jc w:val="right"/>
            </w:pPr>
            <w:r>
              <w:t>0</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71084" w14:textId="77777777" w:rsidR="00AF51F1" w:rsidRDefault="00711D3C">
            <w:pPr>
              <w:pStyle w:val="09-Bodytext"/>
              <w:jc w:val="right"/>
            </w:pPr>
            <w:r>
              <w:t>0</w:t>
            </w: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17550" w14:textId="77777777" w:rsidR="00AF51F1" w:rsidRDefault="00711D3C">
            <w:pPr>
              <w:pStyle w:val="09-Bodytext"/>
              <w:jc w:val="right"/>
            </w:pPr>
            <w:r>
              <w:t>0</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E6458" w14:textId="77777777" w:rsidR="00AF51F1" w:rsidRDefault="00711D3C">
            <w:pPr>
              <w:pStyle w:val="09-Bodytext"/>
              <w:jc w:val="right"/>
            </w:pPr>
            <w:r>
              <w:t>5</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C351F" w14:textId="77777777" w:rsidR="00AF51F1" w:rsidRDefault="00711D3C">
            <w:pPr>
              <w:pStyle w:val="09-Bodytext"/>
              <w:jc w:val="right"/>
            </w:pPr>
            <w:r>
              <w:t>0</w:t>
            </w: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EC619" w14:textId="77777777" w:rsidR="00AF51F1" w:rsidRDefault="00711D3C">
            <w:pPr>
              <w:pStyle w:val="09-Bodytext"/>
              <w:jc w:val="right"/>
            </w:pPr>
            <w:r>
              <w:t>5</w:t>
            </w:r>
          </w:p>
        </w:tc>
      </w:tr>
      <w:tr w:rsidR="00AF51F1" w14:paraId="3C5817E3" w14:textId="77777777">
        <w:tc>
          <w:tcPr>
            <w:tcW w:w="2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3AA8B" w14:textId="77777777" w:rsidR="00AF51F1" w:rsidRDefault="00711D3C">
            <w:pPr>
              <w:pStyle w:val="09-Bodytext"/>
            </w:pPr>
            <w:r>
              <w:t>Private Equity</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25C54" w14:textId="77777777" w:rsidR="00AF51F1" w:rsidRDefault="00711D3C">
            <w:pPr>
              <w:pStyle w:val="09-Bodytext"/>
              <w:jc w:val="right"/>
            </w:pPr>
            <w:r>
              <w:t>0</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CE771" w14:textId="77777777" w:rsidR="00AF51F1" w:rsidRDefault="00711D3C">
            <w:pPr>
              <w:pStyle w:val="09-Bodytext"/>
              <w:jc w:val="right"/>
            </w:pPr>
            <w:r>
              <w:t>6,426</w:t>
            </w: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7CD98" w14:textId="77777777" w:rsidR="00AF51F1" w:rsidRDefault="00711D3C">
            <w:pPr>
              <w:pStyle w:val="09-Bodytext"/>
              <w:jc w:val="right"/>
            </w:pPr>
            <w:r>
              <w:t>6,426</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6F74B" w14:textId="77777777" w:rsidR="00AF51F1" w:rsidRDefault="00711D3C">
            <w:pPr>
              <w:pStyle w:val="09-Bodytext"/>
              <w:jc w:val="right"/>
            </w:pPr>
            <w:r>
              <w:t>0</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9BF20" w14:textId="77777777" w:rsidR="00AF51F1" w:rsidRDefault="00711D3C">
            <w:pPr>
              <w:pStyle w:val="09-Bodytext"/>
              <w:jc w:val="right"/>
            </w:pPr>
            <w:r>
              <w:t>5,436</w:t>
            </w: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62863" w14:textId="77777777" w:rsidR="00AF51F1" w:rsidRDefault="00711D3C">
            <w:pPr>
              <w:pStyle w:val="09-Bodytext"/>
              <w:jc w:val="right"/>
            </w:pPr>
            <w:r>
              <w:t>5,436</w:t>
            </w:r>
          </w:p>
        </w:tc>
      </w:tr>
      <w:tr w:rsidR="00AF51F1" w14:paraId="2BE4F5D8" w14:textId="77777777">
        <w:tc>
          <w:tcPr>
            <w:tcW w:w="2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9229A" w14:textId="77777777" w:rsidR="00AF51F1" w:rsidRDefault="00711D3C">
            <w:pPr>
              <w:pStyle w:val="09-Bodytext"/>
            </w:pPr>
            <w:r>
              <w:t>Investment Funds</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13E31" w14:textId="77777777" w:rsidR="00AF51F1" w:rsidRDefault="00711D3C">
            <w:pPr>
              <w:pStyle w:val="09-Bodytext"/>
              <w:jc w:val="right"/>
            </w:pPr>
            <w:r>
              <w:t>182</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BCC3F" w14:textId="77777777" w:rsidR="00AF51F1" w:rsidRDefault="00711D3C">
            <w:pPr>
              <w:pStyle w:val="09-Bodytext"/>
              <w:jc w:val="right"/>
            </w:pPr>
            <w:r>
              <w:t>15,382</w:t>
            </w: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75CD7" w14:textId="77777777" w:rsidR="00AF51F1" w:rsidRDefault="00711D3C">
            <w:pPr>
              <w:pStyle w:val="09-Bodytext"/>
              <w:jc w:val="right"/>
            </w:pPr>
            <w:r>
              <w:t>15,564</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15050" w14:textId="77777777" w:rsidR="00AF51F1" w:rsidRDefault="00711D3C">
            <w:pPr>
              <w:pStyle w:val="09-Bodytext"/>
              <w:jc w:val="right"/>
            </w:pPr>
            <w:r>
              <w:t>286</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2ED58" w14:textId="77777777" w:rsidR="00AF51F1" w:rsidRDefault="00711D3C">
            <w:pPr>
              <w:pStyle w:val="09-Bodytext"/>
              <w:jc w:val="right"/>
            </w:pPr>
            <w:r>
              <w:t>14,561</w:t>
            </w: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E83279" w14:textId="77777777" w:rsidR="00AF51F1" w:rsidRDefault="00711D3C">
            <w:pPr>
              <w:pStyle w:val="09-Bodytext"/>
              <w:jc w:val="right"/>
            </w:pPr>
            <w:r>
              <w:t>14,847</w:t>
            </w:r>
          </w:p>
        </w:tc>
      </w:tr>
      <w:tr w:rsidR="00AF51F1" w14:paraId="50B92B1C" w14:textId="77777777">
        <w:tc>
          <w:tcPr>
            <w:tcW w:w="2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8278E" w14:textId="77777777" w:rsidR="00AF51F1" w:rsidRDefault="00711D3C">
            <w:pPr>
              <w:pStyle w:val="09-Bodytext"/>
            </w:pPr>
            <w:r>
              <w:t>Asset Backed Securities</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21C05" w14:textId="77777777" w:rsidR="00AF51F1" w:rsidRDefault="00711D3C">
            <w:pPr>
              <w:pStyle w:val="09-Bodytext"/>
              <w:jc w:val="right"/>
            </w:pPr>
            <w:r>
              <w:t>0</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9D6D1" w14:textId="77777777" w:rsidR="00AF51F1" w:rsidRDefault="00711D3C">
            <w:pPr>
              <w:pStyle w:val="09-Bodytext"/>
              <w:jc w:val="right"/>
            </w:pPr>
            <w:r>
              <w:t>0</w:t>
            </w: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2D216" w14:textId="77777777" w:rsidR="00AF51F1" w:rsidRDefault="00711D3C">
            <w:pPr>
              <w:pStyle w:val="09-Bodytext"/>
              <w:jc w:val="right"/>
            </w:pPr>
            <w:r>
              <w:t>0</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27EBE" w14:textId="77777777" w:rsidR="00AF51F1" w:rsidRDefault="00711D3C">
            <w:pPr>
              <w:pStyle w:val="09-Bodytext"/>
              <w:jc w:val="right"/>
            </w:pPr>
            <w:r>
              <w:t>0</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51651" w14:textId="77777777" w:rsidR="00AF51F1" w:rsidRDefault="00711D3C">
            <w:pPr>
              <w:pStyle w:val="09-Bodytext"/>
              <w:jc w:val="right"/>
            </w:pPr>
            <w:r>
              <w:t>0</w:t>
            </w: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5EC5B" w14:textId="77777777" w:rsidR="00AF51F1" w:rsidRDefault="00711D3C">
            <w:pPr>
              <w:pStyle w:val="09-Bodytext"/>
              <w:jc w:val="right"/>
            </w:pPr>
            <w:r>
              <w:t>0</w:t>
            </w:r>
          </w:p>
        </w:tc>
      </w:tr>
      <w:tr w:rsidR="00AF51F1" w14:paraId="1D06C28D" w14:textId="77777777">
        <w:tc>
          <w:tcPr>
            <w:tcW w:w="2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7B905" w14:textId="77777777" w:rsidR="00AF51F1" w:rsidRDefault="00711D3C">
            <w:pPr>
              <w:pStyle w:val="09-Bodytext"/>
            </w:pPr>
            <w:r>
              <w:t>Structured Debt</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1EB94" w14:textId="77777777" w:rsidR="00AF51F1" w:rsidRDefault="00711D3C">
            <w:pPr>
              <w:pStyle w:val="09-Bodytext"/>
              <w:jc w:val="right"/>
            </w:pPr>
            <w:r>
              <w:t>0</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762C8" w14:textId="77777777" w:rsidR="00AF51F1" w:rsidRDefault="00711D3C">
            <w:pPr>
              <w:pStyle w:val="09-Bodytext"/>
              <w:jc w:val="right"/>
            </w:pPr>
            <w:r>
              <w:t>0</w:t>
            </w: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58093" w14:textId="77777777" w:rsidR="00AF51F1" w:rsidRDefault="00711D3C">
            <w:pPr>
              <w:pStyle w:val="09-Bodytext"/>
              <w:jc w:val="right"/>
            </w:pPr>
            <w:r>
              <w:t>0</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2733A" w14:textId="77777777" w:rsidR="00AF51F1" w:rsidRDefault="00711D3C">
            <w:pPr>
              <w:pStyle w:val="09-Bodytext"/>
              <w:jc w:val="right"/>
            </w:pPr>
            <w:r>
              <w:t>0</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B3A28" w14:textId="77777777" w:rsidR="00AF51F1" w:rsidRDefault="00711D3C">
            <w:pPr>
              <w:pStyle w:val="09-Bodytext"/>
              <w:jc w:val="right"/>
            </w:pPr>
            <w:r>
              <w:t>0</w:t>
            </w: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2F250" w14:textId="77777777" w:rsidR="00AF51F1" w:rsidRDefault="00711D3C">
            <w:pPr>
              <w:pStyle w:val="09-Bodytext"/>
              <w:jc w:val="right"/>
            </w:pPr>
            <w:r>
              <w:t>0</w:t>
            </w:r>
          </w:p>
        </w:tc>
      </w:tr>
      <w:tr w:rsidR="00AF51F1" w14:paraId="0357BD42" w14:textId="77777777">
        <w:tc>
          <w:tcPr>
            <w:tcW w:w="2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26CBF" w14:textId="77777777" w:rsidR="00AF51F1" w:rsidRDefault="00711D3C">
            <w:pPr>
              <w:pStyle w:val="09-Bodytext"/>
              <w:rPr>
                <w:b/>
                <w:bCs/>
              </w:rPr>
            </w:pPr>
            <w:r>
              <w:rPr>
                <w:b/>
                <w:bCs/>
              </w:rPr>
              <w:t>Total</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2A6D8" w14:textId="77777777" w:rsidR="00AF51F1" w:rsidRDefault="00711D3C">
            <w:pPr>
              <w:pStyle w:val="09-Bodytext"/>
              <w:jc w:val="right"/>
              <w:rPr>
                <w:b/>
                <w:bCs/>
              </w:rPr>
            </w:pPr>
            <w:r>
              <w:rPr>
                <w:b/>
                <w:bCs/>
              </w:rPr>
              <w:t>8,224</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75C93" w14:textId="77777777" w:rsidR="00AF51F1" w:rsidRDefault="00711D3C">
            <w:pPr>
              <w:pStyle w:val="09-Bodytext"/>
              <w:jc w:val="right"/>
              <w:rPr>
                <w:b/>
                <w:bCs/>
              </w:rPr>
            </w:pPr>
            <w:r>
              <w:rPr>
                <w:b/>
                <w:bCs/>
              </w:rPr>
              <w:t>24,603</w:t>
            </w: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73E68" w14:textId="77777777" w:rsidR="00AF51F1" w:rsidRDefault="00711D3C">
            <w:pPr>
              <w:pStyle w:val="09-Bodytext"/>
              <w:jc w:val="right"/>
              <w:rPr>
                <w:b/>
                <w:bCs/>
              </w:rPr>
            </w:pPr>
            <w:r>
              <w:rPr>
                <w:b/>
                <w:bCs/>
              </w:rPr>
              <w:t>32,827</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1EECE" w14:textId="77777777" w:rsidR="00AF51F1" w:rsidRDefault="00711D3C">
            <w:pPr>
              <w:pStyle w:val="09-Bodytext"/>
              <w:jc w:val="right"/>
              <w:rPr>
                <w:b/>
                <w:bCs/>
              </w:rPr>
            </w:pPr>
            <w:r>
              <w:rPr>
                <w:b/>
                <w:bCs/>
              </w:rPr>
              <w:t>7,880</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31233" w14:textId="77777777" w:rsidR="00AF51F1" w:rsidRDefault="00711D3C">
            <w:pPr>
              <w:pStyle w:val="09-Bodytext"/>
              <w:jc w:val="right"/>
              <w:rPr>
                <w:b/>
                <w:bCs/>
              </w:rPr>
            </w:pPr>
            <w:r>
              <w:rPr>
                <w:b/>
                <w:bCs/>
              </w:rPr>
              <w:t>22,513</w:t>
            </w: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E25AA" w14:textId="77777777" w:rsidR="00AF51F1" w:rsidRDefault="00711D3C">
            <w:pPr>
              <w:pStyle w:val="09-Bodytext"/>
              <w:jc w:val="right"/>
              <w:rPr>
                <w:b/>
                <w:bCs/>
              </w:rPr>
            </w:pPr>
            <w:r>
              <w:rPr>
                <w:b/>
                <w:bCs/>
              </w:rPr>
              <w:t xml:space="preserve">30,393                            </w:t>
            </w:r>
          </w:p>
        </w:tc>
      </w:tr>
    </w:tbl>
    <w:p w14:paraId="58043FED" w14:textId="77777777" w:rsidR="00AF51F1" w:rsidRDefault="00AF51F1">
      <w:pPr>
        <w:pStyle w:val="09-Bodytext"/>
      </w:pPr>
    </w:p>
    <w:p w14:paraId="361554B8" w14:textId="77777777" w:rsidR="00AF51F1" w:rsidRDefault="00711D3C">
      <w:pPr>
        <w:pStyle w:val="09-Bodytext"/>
        <w:rPr>
          <w:b/>
          <w:bCs/>
        </w:rPr>
      </w:pPr>
      <w:r>
        <w:rPr>
          <w:b/>
          <w:bCs/>
        </w:rPr>
        <w:t>Basis for Estimating Assets and Liabilities</w:t>
      </w:r>
    </w:p>
    <w:p w14:paraId="6B5FE6B7" w14:textId="77777777" w:rsidR="00AF51F1" w:rsidRDefault="00AF51F1">
      <w:pPr>
        <w:pStyle w:val="09-Bodytext"/>
      </w:pPr>
    </w:p>
    <w:p w14:paraId="5922EC72" w14:textId="77777777" w:rsidR="00AF51F1" w:rsidRDefault="00711D3C">
      <w:pPr>
        <w:pStyle w:val="09-Bodytext"/>
      </w:pPr>
      <w:r>
        <w:t xml:space="preserve">Liabilities have been assessed on an actuarial basis using the projected unit credit method, to provide an estimate of the pensions that will be payable in future years dependant on assumptions about mortality rates, salary levels etc.  The Local Government Pension Scheme has been assessed by Hymans Robertson LLP, an independent firm of actuaries, with estimates for the Strathclyde Pension Fund being based on the latest valuation of the scheme as </w:t>
      </w:r>
      <w:proofErr w:type="gramStart"/>
      <w:r>
        <w:t>at</w:t>
      </w:r>
      <w:proofErr w:type="gramEnd"/>
      <w:r>
        <w:t xml:space="preserve"> 31 March 2020.</w:t>
      </w:r>
    </w:p>
    <w:p w14:paraId="2BD5B5E5" w14:textId="77777777" w:rsidR="00AF51F1" w:rsidRDefault="00AF51F1">
      <w:pPr>
        <w:pStyle w:val="09-Bodytext"/>
      </w:pPr>
    </w:p>
    <w:p w14:paraId="40AFDBEC" w14:textId="77777777" w:rsidR="00AF51F1" w:rsidRDefault="00711D3C">
      <w:pPr>
        <w:pStyle w:val="09-Bodytext"/>
      </w:pPr>
      <w:r>
        <w:t>The principal assumptions used by the actuary were:</w:t>
      </w:r>
    </w:p>
    <w:p w14:paraId="3594BC62" w14:textId="77777777" w:rsidR="00AF51F1" w:rsidRDefault="00AF51F1">
      <w:pPr>
        <w:pStyle w:val="09-Bodytext"/>
        <w:rPr>
          <w:shd w:val="clear" w:color="auto" w:fill="FFFF00"/>
        </w:rPr>
      </w:pPr>
    </w:p>
    <w:tbl>
      <w:tblPr>
        <w:tblW w:w="5000" w:type="pct"/>
        <w:tblCellMar>
          <w:left w:w="10" w:type="dxa"/>
          <w:right w:w="10" w:type="dxa"/>
        </w:tblCellMar>
        <w:tblLook w:val="0000" w:firstRow="0" w:lastRow="0" w:firstColumn="0" w:lastColumn="0" w:noHBand="0" w:noVBand="0"/>
      </w:tblPr>
      <w:tblGrid>
        <w:gridCol w:w="6232"/>
        <w:gridCol w:w="1417"/>
        <w:gridCol w:w="1367"/>
      </w:tblGrid>
      <w:tr w:rsidR="00AF51F1" w14:paraId="191D2787" w14:textId="77777777">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BD8AA" w14:textId="77777777" w:rsidR="00AF51F1" w:rsidRDefault="00AF51F1">
            <w:pPr>
              <w:pStyle w:val="09-Bodytext"/>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3BC2A" w14:textId="77777777" w:rsidR="00AF51F1" w:rsidRDefault="00711D3C">
            <w:pPr>
              <w:pStyle w:val="09-Bodytext"/>
              <w:jc w:val="right"/>
              <w:rPr>
                <w:b/>
                <w:bCs/>
              </w:rPr>
            </w:pPr>
            <w:r>
              <w:rPr>
                <w:b/>
                <w:bCs/>
              </w:rPr>
              <w:t>2021/22</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658E5" w14:textId="77777777" w:rsidR="00AF51F1" w:rsidRDefault="00711D3C">
            <w:pPr>
              <w:pStyle w:val="09-Bodytext"/>
              <w:jc w:val="right"/>
              <w:rPr>
                <w:b/>
                <w:bCs/>
              </w:rPr>
            </w:pPr>
            <w:r>
              <w:rPr>
                <w:b/>
                <w:bCs/>
              </w:rPr>
              <w:t>2020/21</w:t>
            </w:r>
          </w:p>
        </w:tc>
      </w:tr>
      <w:tr w:rsidR="00AF51F1" w14:paraId="1034EA93" w14:textId="77777777">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233E6" w14:textId="77777777" w:rsidR="00AF51F1" w:rsidRDefault="00AF51F1">
            <w:pPr>
              <w:pStyle w:val="09-Bodytext"/>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DA777" w14:textId="77777777" w:rsidR="00AF51F1" w:rsidRDefault="00711D3C">
            <w:pPr>
              <w:pStyle w:val="09-Bodytext"/>
              <w:jc w:val="right"/>
              <w:rPr>
                <w:b/>
                <w:bCs/>
              </w:rPr>
            </w:pPr>
            <w:r>
              <w:rPr>
                <w:b/>
                <w:bCs/>
              </w:rPr>
              <w:t>Years</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E60D1" w14:textId="77777777" w:rsidR="00AF51F1" w:rsidRDefault="00711D3C">
            <w:pPr>
              <w:pStyle w:val="09-Bodytext"/>
              <w:jc w:val="right"/>
              <w:rPr>
                <w:b/>
                <w:bCs/>
              </w:rPr>
            </w:pPr>
            <w:r>
              <w:rPr>
                <w:b/>
                <w:bCs/>
              </w:rPr>
              <w:t>Years</w:t>
            </w:r>
          </w:p>
        </w:tc>
      </w:tr>
      <w:tr w:rsidR="00AF51F1" w14:paraId="758A153F" w14:textId="77777777">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7C92A" w14:textId="77777777" w:rsidR="00AF51F1" w:rsidRDefault="00711D3C">
            <w:pPr>
              <w:pStyle w:val="09-Bodytext"/>
              <w:rPr>
                <w:b/>
                <w:bCs/>
              </w:rPr>
            </w:pPr>
            <w:r>
              <w:rPr>
                <w:b/>
                <w:bCs/>
              </w:rPr>
              <w:t>Mortality Assumptions: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D4034" w14:textId="77777777" w:rsidR="00AF51F1" w:rsidRDefault="00AF51F1">
            <w:pPr>
              <w:pStyle w:val="09-Bodytext"/>
              <w:jc w:val="right"/>
            </w:pP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4CC9A" w14:textId="77777777" w:rsidR="00AF51F1" w:rsidRDefault="00AF51F1">
            <w:pPr>
              <w:pStyle w:val="09-Bodytext"/>
              <w:jc w:val="right"/>
            </w:pPr>
          </w:p>
        </w:tc>
      </w:tr>
      <w:tr w:rsidR="00AF51F1" w14:paraId="0452D147" w14:textId="77777777">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E0D5E" w14:textId="77777777" w:rsidR="00AF51F1" w:rsidRDefault="00711D3C">
            <w:pPr>
              <w:pStyle w:val="09-Bodytext"/>
            </w:pPr>
            <w:r>
              <w:t>Longevity at 65 for current pensioners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3B62D" w14:textId="77777777" w:rsidR="00AF51F1" w:rsidRDefault="00AF51F1">
            <w:pPr>
              <w:pStyle w:val="09-Bodytext"/>
              <w:jc w:val="right"/>
            </w:pP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0ACD2" w14:textId="77777777" w:rsidR="00AF51F1" w:rsidRDefault="00AF51F1">
            <w:pPr>
              <w:pStyle w:val="09-Bodytext"/>
              <w:jc w:val="right"/>
            </w:pPr>
          </w:p>
        </w:tc>
      </w:tr>
      <w:tr w:rsidR="00AF51F1" w14:paraId="7BE41401" w14:textId="77777777">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3543A" w14:textId="77777777" w:rsidR="00AF51F1" w:rsidRDefault="00711D3C">
            <w:pPr>
              <w:pStyle w:val="09-Bodytext"/>
            </w:pPr>
            <w:r>
              <w:t xml:space="preserve">Male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32131" w14:textId="77777777" w:rsidR="00AF51F1" w:rsidRDefault="00711D3C">
            <w:pPr>
              <w:pStyle w:val="09-Bodytext"/>
              <w:jc w:val="right"/>
            </w:pPr>
            <w:r>
              <w:t>19.6</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32D7" w14:textId="77777777" w:rsidR="00AF51F1" w:rsidRDefault="00711D3C">
            <w:pPr>
              <w:pStyle w:val="09-Bodytext"/>
              <w:jc w:val="right"/>
            </w:pPr>
            <w:r>
              <w:t>19.8</w:t>
            </w:r>
          </w:p>
        </w:tc>
      </w:tr>
      <w:tr w:rsidR="00AF51F1" w14:paraId="62707F6E" w14:textId="77777777">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06983" w14:textId="77777777" w:rsidR="00AF51F1" w:rsidRDefault="00711D3C">
            <w:pPr>
              <w:pStyle w:val="09-Bodytext"/>
            </w:pPr>
            <w:r>
              <w:t>Female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CD03B" w14:textId="77777777" w:rsidR="00AF51F1" w:rsidRDefault="00711D3C">
            <w:pPr>
              <w:pStyle w:val="09-Bodytext"/>
              <w:jc w:val="right"/>
            </w:pPr>
            <w:r>
              <w:t>22.4</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D5B32" w14:textId="77777777" w:rsidR="00AF51F1" w:rsidRDefault="00711D3C">
            <w:pPr>
              <w:pStyle w:val="09-Bodytext"/>
              <w:jc w:val="right"/>
            </w:pPr>
            <w:r>
              <w:t>22.6</w:t>
            </w:r>
          </w:p>
        </w:tc>
      </w:tr>
      <w:tr w:rsidR="00AF51F1" w14:paraId="24486003" w14:textId="77777777">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578F4" w14:textId="77777777" w:rsidR="00AF51F1" w:rsidRDefault="00711D3C">
            <w:pPr>
              <w:pStyle w:val="09-Bodytext"/>
            </w:pPr>
            <w:r>
              <w:t>Longevity at 65 for future pensioners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DE1E2" w14:textId="77777777" w:rsidR="00AF51F1" w:rsidRDefault="00AF51F1">
            <w:pPr>
              <w:pStyle w:val="09-Bodytext"/>
              <w:jc w:val="right"/>
            </w:pP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F929D" w14:textId="77777777" w:rsidR="00AF51F1" w:rsidRDefault="00AF51F1">
            <w:pPr>
              <w:pStyle w:val="09-Bodytext"/>
              <w:jc w:val="right"/>
            </w:pPr>
          </w:p>
        </w:tc>
      </w:tr>
      <w:tr w:rsidR="00AF51F1" w14:paraId="6D59B324" w14:textId="77777777">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817CE" w14:textId="77777777" w:rsidR="00AF51F1" w:rsidRDefault="00711D3C">
            <w:pPr>
              <w:pStyle w:val="09-Bodytext"/>
            </w:pPr>
            <w:r>
              <w:t xml:space="preserve">Male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5DC9A" w14:textId="77777777" w:rsidR="00AF51F1" w:rsidRDefault="00711D3C">
            <w:pPr>
              <w:pStyle w:val="09-Bodytext"/>
              <w:jc w:val="right"/>
            </w:pPr>
            <w:r>
              <w:t>21.0</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CE493" w14:textId="77777777" w:rsidR="00AF51F1" w:rsidRDefault="00711D3C">
            <w:pPr>
              <w:pStyle w:val="09-Bodytext"/>
              <w:jc w:val="right"/>
            </w:pPr>
            <w:r>
              <w:t>21.2</w:t>
            </w:r>
          </w:p>
        </w:tc>
      </w:tr>
      <w:tr w:rsidR="00AF51F1" w14:paraId="38327DC4" w14:textId="77777777">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A60D2" w14:textId="77777777" w:rsidR="00AF51F1" w:rsidRDefault="00711D3C">
            <w:pPr>
              <w:pStyle w:val="09-Bodytext"/>
            </w:pPr>
            <w:r>
              <w:t>Female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10BC4" w14:textId="77777777" w:rsidR="00AF51F1" w:rsidRDefault="00711D3C">
            <w:pPr>
              <w:pStyle w:val="09-Bodytext"/>
              <w:jc w:val="right"/>
            </w:pPr>
            <w:r>
              <w:t>24.5</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D2FDF" w14:textId="77777777" w:rsidR="00AF51F1" w:rsidRDefault="00711D3C">
            <w:pPr>
              <w:pStyle w:val="09-Bodytext"/>
              <w:jc w:val="right"/>
            </w:pPr>
            <w:r>
              <w:t>24.7</w:t>
            </w:r>
          </w:p>
        </w:tc>
      </w:tr>
      <w:tr w:rsidR="00AF51F1" w14:paraId="383CBE97" w14:textId="77777777">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F9682" w14:textId="77777777" w:rsidR="00AF51F1" w:rsidRDefault="00AF51F1">
            <w:pPr>
              <w:pStyle w:val="09-Bodytext"/>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DA595" w14:textId="77777777" w:rsidR="00AF51F1" w:rsidRDefault="00AF51F1">
            <w:pPr>
              <w:pStyle w:val="09-Bodytext"/>
              <w:jc w:val="right"/>
            </w:pP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63359" w14:textId="77777777" w:rsidR="00AF51F1" w:rsidRDefault="00AF51F1">
            <w:pPr>
              <w:pStyle w:val="09-Bodytext"/>
              <w:jc w:val="right"/>
            </w:pPr>
          </w:p>
        </w:tc>
      </w:tr>
      <w:tr w:rsidR="00AF51F1" w14:paraId="234BD73A" w14:textId="77777777">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877DB" w14:textId="77777777" w:rsidR="00AF51F1" w:rsidRDefault="00711D3C">
            <w:pPr>
              <w:pStyle w:val="09-Bodytext"/>
              <w:rPr>
                <w:b/>
                <w:bCs/>
              </w:rPr>
            </w:pPr>
            <w:r>
              <w:rPr>
                <w:b/>
                <w:bCs/>
              </w:rPr>
              <w:t>Financial Assumptions: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ACD98" w14:textId="77777777" w:rsidR="00AF51F1" w:rsidRDefault="00711D3C">
            <w:pPr>
              <w:pStyle w:val="09-Bodytext"/>
              <w:jc w:val="right"/>
              <w:rPr>
                <w:b/>
                <w:bCs/>
              </w:rPr>
            </w:pPr>
            <w:r>
              <w:rPr>
                <w:b/>
                <w:bCs/>
              </w:rPr>
              <w: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E3389" w14:textId="77777777" w:rsidR="00AF51F1" w:rsidRDefault="00711D3C">
            <w:pPr>
              <w:pStyle w:val="09-Bodytext"/>
              <w:jc w:val="right"/>
              <w:rPr>
                <w:b/>
                <w:bCs/>
              </w:rPr>
            </w:pPr>
            <w:r>
              <w:rPr>
                <w:b/>
                <w:bCs/>
              </w:rPr>
              <w:t>%</w:t>
            </w:r>
          </w:p>
        </w:tc>
      </w:tr>
      <w:tr w:rsidR="00AF51F1" w14:paraId="7BA0CC72" w14:textId="77777777">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C9859" w14:textId="77777777" w:rsidR="00AF51F1" w:rsidRDefault="00711D3C">
            <w:pPr>
              <w:pStyle w:val="09-Bodytext"/>
            </w:pPr>
            <w:r>
              <w:t>Rate of inflation / pension increase rate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D64BA" w14:textId="77777777" w:rsidR="00AF51F1" w:rsidRDefault="00711D3C">
            <w:pPr>
              <w:pStyle w:val="09-Bodytext"/>
              <w:jc w:val="right"/>
            </w:pPr>
            <w:r>
              <w:t>3.2</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DF79B" w14:textId="77777777" w:rsidR="00AF51F1" w:rsidRDefault="00711D3C">
            <w:pPr>
              <w:pStyle w:val="09-Bodytext"/>
              <w:jc w:val="right"/>
            </w:pPr>
            <w:r>
              <w:t>2.85</w:t>
            </w:r>
          </w:p>
        </w:tc>
      </w:tr>
      <w:tr w:rsidR="00AF51F1" w14:paraId="37A44138" w14:textId="77777777">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03B21" w14:textId="77777777" w:rsidR="00AF51F1" w:rsidRDefault="00711D3C">
            <w:pPr>
              <w:pStyle w:val="09-Bodytext"/>
            </w:pPr>
            <w:r>
              <w:t>Rate of increase in salaries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95BCB" w14:textId="77777777" w:rsidR="00AF51F1" w:rsidRDefault="00711D3C">
            <w:pPr>
              <w:pStyle w:val="09-Bodytext"/>
              <w:jc w:val="right"/>
            </w:pPr>
            <w:r>
              <w:t>3.9</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36FC8" w14:textId="77777777" w:rsidR="00AF51F1" w:rsidRDefault="00711D3C">
            <w:pPr>
              <w:pStyle w:val="09-Bodytext"/>
              <w:jc w:val="right"/>
            </w:pPr>
            <w:r>
              <w:t>3.55</w:t>
            </w:r>
          </w:p>
        </w:tc>
      </w:tr>
      <w:tr w:rsidR="00AF51F1" w14:paraId="07909B1E" w14:textId="77777777">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6DB09" w14:textId="77777777" w:rsidR="00AF51F1" w:rsidRDefault="00711D3C">
            <w:pPr>
              <w:pStyle w:val="09-Bodytext"/>
            </w:pPr>
            <w:r>
              <w:t>Expected return on assets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DAC02" w14:textId="77777777" w:rsidR="00AF51F1" w:rsidRDefault="00711D3C">
            <w:pPr>
              <w:pStyle w:val="09-Bodytext"/>
              <w:jc w:val="right"/>
            </w:pPr>
            <w:r>
              <w:t>7.7</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C83FF" w14:textId="77777777" w:rsidR="00AF51F1" w:rsidRDefault="00711D3C">
            <w:pPr>
              <w:pStyle w:val="09-Bodytext"/>
              <w:jc w:val="right"/>
            </w:pPr>
            <w:r>
              <w:t>2.0</w:t>
            </w:r>
          </w:p>
        </w:tc>
      </w:tr>
      <w:tr w:rsidR="00AF51F1" w14:paraId="57644F6A" w14:textId="77777777">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B7A55" w14:textId="77777777" w:rsidR="00AF51F1" w:rsidRDefault="00711D3C">
            <w:pPr>
              <w:pStyle w:val="09-Bodytext"/>
            </w:pPr>
            <w:r>
              <w:t>Rate for discounting scheme liabilities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0DDB4" w14:textId="77777777" w:rsidR="00AF51F1" w:rsidRDefault="00711D3C">
            <w:pPr>
              <w:pStyle w:val="09-Bodytext"/>
              <w:jc w:val="right"/>
            </w:pPr>
            <w:r>
              <w:t>2.7</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61F87" w14:textId="77777777" w:rsidR="00AF51F1" w:rsidRDefault="00711D3C">
            <w:pPr>
              <w:pStyle w:val="09-Bodytext"/>
              <w:jc w:val="right"/>
            </w:pPr>
            <w:r>
              <w:t>2.0</w:t>
            </w:r>
          </w:p>
        </w:tc>
      </w:tr>
      <w:tr w:rsidR="00AF51F1" w14:paraId="08DCEB83" w14:textId="77777777">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77963" w14:textId="77777777" w:rsidR="00AF51F1" w:rsidRDefault="00711D3C">
            <w:pPr>
              <w:pStyle w:val="09-Bodytext"/>
            </w:pPr>
            <w:r>
              <w:t xml:space="preserve">Take up option to convert annual pension into retirement lump sum </w:t>
            </w:r>
            <w:proofErr w:type="gramStart"/>
            <w:r>
              <w:t>Pre April 2009</w:t>
            </w:r>
            <w:proofErr w:type="gramEnd"/>
            <w:r>
              <w:t xml:space="preserve"> / (Post April 2009)</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8A9AC" w14:textId="77777777" w:rsidR="00AF51F1" w:rsidRDefault="00711D3C">
            <w:pPr>
              <w:pStyle w:val="09-Bodytext"/>
              <w:jc w:val="right"/>
            </w:pPr>
            <w:r>
              <w:t>50(75)</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21C1B" w14:textId="77777777" w:rsidR="00AF51F1" w:rsidRDefault="00711D3C">
            <w:pPr>
              <w:pStyle w:val="09-Bodytext"/>
              <w:jc w:val="right"/>
            </w:pPr>
            <w:r>
              <w:t>50 (75)</w:t>
            </w:r>
          </w:p>
        </w:tc>
      </w:tr>
    </w:tbl>
    <w:p w14:paraId="1E43C0CF" w14:textId="77777777" w:rsidR="00AF51F1" w:rsidRDefault="00AF51F1">
      <w:pPr>
        <w:pStyle w:val="09-Bodytext"/>
        <w:rPr>
          <w:shd w:val="clear" w:color="auto" w:fill="FFFF00"/>
        </w:rPr>
      </w:pPr>
    </w:p>
    <w:p w14:paraId="284882DC" w14:textId="77777777" w:rsidR="00AF51F1" w:rsidRDefault="00711D3C">
      <w:pPr>
        <w:pStyle w:val="09-Bodytext"/>
      </w:pPr>
      <w:r>
        <w:t xml:space="preserve">The estimation of the defined benefit obligation is sensitive to the actuarial assumptions set out in the table above.  The sensitivity analyses below have been determined based on reasonably possible changes of the assumptions occurring at the end of the reporting period </w:t>
      </w:r>
      <w:r>
        <w:lastRenderedPageBreak/>
        <w:t>and assumes for each change that the assumptions analysed changes while all the other assumptions remain constant:</w:t>
      </w:r>
    </w:p>
    <w:p w14:paraId="00D0E8F6" w14:textId="77777777" w:rsidR="00AF51F1" w:rsidRDefault="00AF51F1">
      <w:pPr>
        <w:pStyle w:val="09-Bodytext"/>
      </w:pPr>
    </w:p>
    <w:tbl>
      <w:tblPr>
        <w:tblW w:w="5000" w:type="pct"/>
        <w:tblCellMar>
          <w:left w:w="10" w:type="dxa"/>
          <w:right w:w="10" w:type="dxa"/>
        </w:tblCellMar>
        <w:tblLook w:val="0000" w:firstRow="0" w:lastRow="0" w:firstColumn="0" w:lastColumn="0" w:noHBand="0" w:noVBand="0"/>
      </w:tblPr>
      <w:tblGrid>
        <w:gridCol w:w="5894"/>
        <w:gridCol w:w="1561"/>
        <w:gridCol w:w="1561"/>
      </w:tblGrid>
      <w:tr w:rsidR="00AF51F1" w14:paraId="01360DAC" w14:textId="77777777">
        <w:tc>
          <w:tcPr>
            <w:tcW w:w="5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5D595" w14:textId="77777777" w:rsidR="00AF51F1" w:rsidRDefault="00AF51F1">
            <w:pPr>
              <w:pStyle w:val="09-Bodytext"/>
            </w:pP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F9DC4" w14:textId="77777777" w:rsidR="00AF51F1" w:rsidRDefault="00711D3C">
            <w:pPr>
              <w:pStyle w:val="09-Bodytext"/>
              <w:jc w:val="right"/>
              <w:rPr>
                <w:b/>
                <w:bCs/>
              </w:rPr>
            </w:pPr>
            <w:r>
              <w:rPr>
                <w:b/>
                <w:bCs/>
              </w:rPr>
              <w:t>Approximate % increase in employer’s liability</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453BA" w14:textId="77777777" w:rsidR="00AF51F1" w:rsidRDefault="00AF51F1">
            <w:pPr>
              <w:pStyle w:val="09-Bodytext"/>
              <w:jc w:val="right"/>
              <w:rPr>
                <w:b/>
                <w:bCs/>
              </w:rPr>
            </w:pPr>
          </w:p>
          <w:p w14:paraId="037CD327" w14:textId="77777777" w:rsidR="00AF51F1" w:rsidRDefault="00AF51F1">
            <w:pPr>
              <w:pStyle w:val="09-Bodytext"/>
              <w:jc w:val="right"/>
              <w:rPr>
                <w:b/>
                <w:bCs/>
              </w:rPr>
            </w:pPr>
          </w:p>
          <w:p w14:paraId="66BD24B4" w14:textId="77777777" w:rsidR="00AF51F1" w:rsidRDefault="00711D3C">
            <w:pPr>
              <w:pStyle w:val="09-Bodytext"/>
              <w:jc w:val="right"/>
              <w:rPr>
                <w:b/>
                <w:bCs/>
              </w:rPr>
            </w:pPr>
            <w:r>
              <w:rPr>
                <w:b/>
                <w:bCs/>
              </w:rPr>
              <w:t>Approximate monetary amount</w:t>
            </w:r>
          </w:p>
        </w:tc>
      </w:tr>
      <w:tr w:rsidR="00AF51F1" w14:paraId="2447A359" w14:textId="77777777">
        <w:tc>
          <w:tcPr>
            <w:tcW w:w="5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731C4" w14:textId="77777777" w:rsidR="00AF51F1" w:rsidRDefault="00711D3C">
            <w:pPr>
              <w:pStyle w:val="09-Bodytext"/>
              <w:rPr>
                <w:b/>
                <w:bCs/>
              </w:rPr>
            </w:pPr>
            <w:r>
              <w:rPr>
                <w:b/>
                <w:bCs/>
              </w:rPr>
              <w:t xml:space="preserve">Change in assumption </w:t>
            </w:r>
            <w:proofErr w:type="gramStart"/>
            <w:r>
              <w:rPr>
                <w:b/>
                <w:bCs/>
              </w:rPr>
              <w:t>at</w:t>
            </w:r>
            <w:proofErr w:type="gramEnd"/>
            <w:r>
              <w:rPr>
                <w:b/>
                <w:bCs/>
              </w:rPr>
              <w:t xml:space="preserve"> 31 March 2020</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CDB1C" w14:textId="77777777" w:rsidR="00AF51F1" w:rsidRDefault="00AF51F1">
            <w:pPr>
              <w:pStyle w:val="09-Bodytext"/>
              <w:jc w:val="right"/>
            </w:pP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E9B45" w14:textId="77777777" w:rsidR="00AF51F1" w:rsidRDefault="00711D3C">
            <w:pPr>
              <w:pStyle w:val="09-Bodytext"/>
              <w:jc w:val="right"/>
            </w:pPr>
            <w:r>
              <w:rPr>
                <w:b/>
                <w:bCs/>
              </w:rPr>
              <w:t>£000</w:t>
            </w:r>
          </w:p>
        </w:tc>
      </w:tr>
      <w:tr w:rsidR="00AF51F1" w14:paraId="735DC061" w14:textId="77777777">
        <w:tc>
          <w:tcPr>
            <w:tcW w:w="5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25BC8" w14:textId="77777777" w:rsidR="00AF51F1" w:rsidRDefault="00711D3C">
            <w:pPr>
              <w:pStyle w:val="09-Bodytext"/>
            </w:pPr>
            <w:r>
              <w:t>0.1% decrease in real discount rate</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7E850" w14:textId="77777777" w:rsidR="00AF51F1" w:rsidRDefault="00711D3C">
            <w:pPr>
              <w:pStyle w:val="09-Bodytext"/>
              <w:jc w:val="right"/>
            </w:pPr>
            <w:r>
              <w:t>2%</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82B30" w14:textId="77777777" w:rsidR="00AF51F1" w:rsidRDefault="00711D3C">
            <w:pPr>
              <w:pStyle w:val="09-Bodytext"/>
              <w:jc w:val="right"/>
            </w:pPr>
            <w:r>
              <w:t>631</w:t>
            </w:r>
          </w:p>
        </w:tc>
      </w:tr>
      <w:tr w:rsidR="00AF51F1" w14:paraId="25505B48" w14:textId="77777777">
        <w:tc>
          <w:tcPr>
            <w:tcW w:w="5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A3150" w14:textId="77777777" w:rsidR="00AF51F1" w:rsidRDefault="00711D3C">
            <w:pPr>
              <w:pStyle w:val="09-Bodytext"/>
            </w:pPr>
            <w:r>
              <w:t>1 year increase in member life expectancy</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2AF72" w14:textId="77777777" w:rsidR="00AF51F1" w:rsidRDefault="00711D3C">
            <w:pPr>
              <w:pStyle w:val="09-Bodytext"/>
              <w:jc w:val="right"/>
            </w:pPr>
            <w:r>
              <w:t>4%</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152C0" w14:textId="77777777" w:rsidR="00AF51F1" w:rsidRDefault="00711D3C">
            <w:pPr>
              <w:pStyle w:val="09-Bodytext"/>
              <w:jc w:val="right"/>
            </w:pPr>
            <w:r>
              <w:t>1,262</w:t>
            </w:r>
          </w:p>
        </w:tc>
      </w:tr>
      <w:tr w:rsidR="00AF51F1" w14:paraId="25D59493" w14:textId="77777777">
        <w:tc>
          <w:tcPr>
            <w:tcW w:w="5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A903B" w14:textId="77777777" w:rsidR="00AF51F1" w:rsidRDefault="00711D3C">
            <w:pPr>
              <w:pStyle w:val="09-Bodytext"/>
            </w:pPr>
            <w:r>
              <w:t>0.1% increase in the salary increase rate</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BEE50" w14:textId="77777777" w:rsidR="00AF51F1" w:rsidRDefault="00711D3C">
            <w:pPr>
              <w:pStyle w:val="09-Bodytext"/>
              <w:jc w:val="right"/>
            </w:pPr>
            <w:r>
              <w:t>0%</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26CD3" w14:textId="77777777" w:rsidR="00AF51F1" w:rsidRDefault="00711D3C">
            <w:pPr>
              <w:pStyle w:val="09-Bodytext"/>
              <w:jc w:val="right"/>
            </w:pPr>
            <w:r>
              <w:t>94</w:t>
            </w:r>
          </w:p>
        </w:tc>
      </w:tr>
      <w:tr w:rsidR="00AF51F1" w14:paraId="1684F887" w14:textId="77777777">
        <w:tc>
          <w:tcPr>
            <w:tcW w:w="5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18E8B" w14:textId="77777777" w:rsidR="00AF51F1" w:rsidRDefault="00711D3C">
            <w:pPr>
              <w:pStyle w:val="09-Bodytext"/>
            </w:pPr>
            <w:r>
              <w:t>0.1% increase in the pension increase rate</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61461" w14:textId="77777777" w:rsidR="00AF51F1" w:rsidRDefault="00711D3C">
            <w:pPr>
              <w:pStyle w:val="09-Bodytext"/>
              <w:jc w:val="right"/>
            </w:pPr>
            <w:r>
              <w:t>2%</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8BBAF" w14:textId="77777777" w:rsidR="00AF51F1" w:rsidRDefault="00711D3C">
            <w:pPr>
              <w:pStyle w:val="09-Bodytext"/>
              <w:jc w:val="right"/>
            </w:pPr>
            <w:r>
              <w:t xml:space="preserve">531 </w:t>
            </w:r>
          </w:p>
        </w:tc>
      </w:tr>
    </w:tbl>
    <w:p w14:paraId="063EFF41" w14:textId="77777777" w:rsidR="00AF51F1" w:rsidRDefault="00AF51F1">
      <w:pPr>
        <w:pStyle w:val="09-Bodytext"/>
      </w:pPr>
    </w:p>
    <w:p w14:paraId="39D31A89" w14:textId="77777777" w:rsidR="00AF51F1" w:rsidRDefault="00711D3C">
      <w:pPr>
        <w:pStyle w:val="09-Bodytext"/>
        <w:rPr>
          <w:b/>
          <w:bCs/>
        </w:rPr>
      </w:pPr>
      <w:r>
        <w:rPr>
          <w:b/>
          <w:bCs/>
        </w:rPr>
        <w:t>Asset and Liability Matching Strategy</w:t>
      </w:r>
    </w:p>
    <w:p w14:paraId="72ADBCE7" w14:textId="77777777" w:rsidR="00AF51F1" w:rsidRDefault="00AF51F1">
      <w:pPr>
        <w:pStyle w:val="09-Bodytext"/>
      </w:pPr>
    </w:p>
    <w:p w14:paraId="0E34E088" w14:textId="77777777" w:rsidR="00AF51F1" w:rsidRDefault="00711D3C">
      <w:pPr>
        <w:pStyle w:val="09-Bodytext"/>
      </w:pPr>
      <w:r>
        <w:t>The Fund has an asset and liability matching (ALM) strategy that matches, to the extent possible, the types of assets invested to the liabilities in the defined benefit obligation.  The Fund has matched assets to the pension obligations by investing in long-term fixed interest securities and index linked gilt edged investments with maturities that match the benefits payments as they fall due.  A large proportion of the assets relate to equities (79%) and bonds (10%).  The scheme also invests in properties (8%) and cash (3%).  The comparative year’s figures for equities and bonds are 76% and 14% respectively.  The ALM strategy is monitored annually or more frequently if necessary.</w:t>
      </w:r>
    </w:p>
    <w:p w14:paraId="1D968991" w14:textId="77777777" w:rsidR="00AF51F1" w:rsidRDefault="00AF51F1">
      <w:pPr>
        <w:pStyle w:val="09-Bodytext"/>
      </w:pPr>
    </w:p>
    <w:p w14:paraId="33283015" w14:textId="77777777" w:rsidR="00AF51F1" w:rsidRDefault="00711D3C">
      <w:pPr>
        <w:pStyle w:val="09-Bodytext"/>
        <w:rPr>
          <w:b/>
        </w:rPr>
      </w:pPr>
      <w:r>
        <w:rPr>
          <w:b/>
        </w:rPr>
        <w:t>Impact of Covid-19</w:t>
      </w:r>
    </w:p>
    <w:p w14:paraId="27C95625" w14:textId="77777777" w:rsidR="00AF51F1" w:rsidRDefault="00AF51F1">
      <w:pPr>
        <w:pStyle w:val="09-Bodytext"/>
      </w:pPr>
    </w:p>
    <w:p w14:paraId="71FA8BFA" w14:textId="77777777" w:rsidR="00AF51F1" w:rsidRDefault="00711D3C">
      <w:pPr>
        <w:pStyle w:val="09-Bodytext"/>
      </w:pPr>
      <w:r>
        <w:t xml:space="preserve">The Fund’s actuary confirmed that the IAS19 Balance Sheet is based on financial market values and future market expectation indicators as </w:t>
      </w:r>
      <w:proofErr w:type="gramStart"/>
      <w:r>
        <w:t>at</w:t>
      </w:r>
      <w:proofErr w:type="gramEnd"/>
      <w:r>
        <w:t xml:space="preserve"> 31 March to comply with the standard. The financial markets at the accounting date will have </w:t>
      </w:r>
      <w:proofErr w:type="gramStart"/>
      <w:r>
        <w:t>taken into account</w:t>
      </w:r>
      <w:proofErr w:type="gramEnd"/>
      <w:r>
        <w:t xml:space="preserve"> COVID-19 risks as one of the many national and worldwide economic considerations. There has been no explicit additional allowance or adjustment made for COVID-19 by the actuary.</w:t>
      </w:r>
    </w:p>
    <w:p w14:paraId="33D8DB0D" w14:textId="77777777" w:rsidR="00AF51F1" w:rsidRDefault="00AF51F1">
      <w:pPr>
        <w:pStyle w:val="09-Bodytext"/>
      </w:pPr>
    </w:p>
    <w:p w14:paraId="2158447C" w14:textId="77777777" w:rsidR="00AF51F1" w:rsidRDefault="00711D3C">
      <w:pPr>
        <w:pStyle w:val="09-Bodytext"/>
        <w:rPr>
          <w:b/>
        </w:rPr>
      </w:pPr>
      <w:r>
        <w:rPr>
          <w:b/>
        </w:rPr>
        <w:t>Impact of Ukraine War</w:t>
      </w:r>
    </w:p>
    <w:p w14:paraId="52481CD1" w14:textId="77777777" w:rsidR="00AF51F1" w:rsidRDefault="00AF51F1">
      <w:pPr>
        <w:pStyle w:val="09-Bodytext"/>
        <w:rPr>
          <w:bCs/>
        </w:rPr>
      </w:pPr>
    </w:p>
    <w:p w14:paraId="33865A9D" w14:textId="77777777" w:rsidR="00AF51F1" w:rsidRDefault="00711D3C">
      <w:pPr>
        <w:pStyle w:val="09-Bodytext"/>
      </w:pPr>
      <w:r>
        <w:t xml:space="preserve">The Fund’s actuary confirmed that the IAS19 Balance Sheet is based on financial market values and future market expectation indicators as </w:t>
      </w:r>
      <w:proofErr w:type="gramStart"/>
      <w:r>
        <w:t>at</w:t>
      </w:r>
      <w:proofErr w:type="gramEnd"/>
      <w:r>
        <w:t xml:space="preserve"> 31 March to comply with the standard. The financial markets at the accounting date will have taken into account </w:t>
      </w:r>
      <w:proofErr w:type="gramStart"/>
      <w:r>
        <w:t>the  risks</w:t>
      </w:r>
      <w:proofErr w:type="gramEnd"/>
      <w:r>
        <w:t xml:space="preserve"> of the war as one of the many national and worldwide economic considerations. There has been no explicit additional allowance or adjustment made for the Ukraine War by the actuary.</w:t>
      </w:r>
    </w:p>
    <w:p w14:paraId="444F06F6" w14:textId="77777777" w:rsidR="00AF51F1" w:rsidRDefault="00711D3C">
      <w:pPr>
        <w:pStyle w:val="09-Bodytext"/>
      </w:pPr>
      <w:r>
        <w:br/>
      </w:r>
      <w:r>
        <w:rPr>
          <w:b/>
          <w:bCs/>
        </w:rPr>
        <w:t>Impact on the Board’s Cash Flow</w:t>
      </w:r>
    </w:p>
    <w:p w14:paraId="26CAE19D" w14:textId="77777777" w:rsidR="00AF51F1" w:rsidRDefault="00AF51F1">
      <w:pPr>
        <w:pStyle w:val="09-Bodytext"/>
        <w:rPr>
          <w:b/>
          <w:bCs/>
        </w:rPr>
      </w:pPr>
    </w:p>
    <w:p w14:paraId="503DFA22" w14:textId="77777777" w:rsidR="00AF51F1" w:rsidRDefault="00711D3C">
      <w:pPr>
        <w:pStyle w:val="09-Bodytext"/>
      </w:pPr>
      <w:r>
        <w:t>The objectives of the fund are to keep employers’ contributions at a constant a rate as possible.  The Fund has an agreed strategy to achieve a funding rate of 100% in the longer term.  The Scheme is a multi-employer defined benefit plan and employers’ contributions have been determined so that employee and employer rates are standard across all participating local authorities.  Employers’ contributions were set at 19.3% for 2021/2022 based on the last triennial valuation completed on 31 March 2020.  This same employers’ contribution rate (19.3%) has been set for the next year (2022/2023).</w:t>
      </w:r>
    </w:p>
    <w:p w14:paraId="74B1C9BB" w14:textId="77777777" w:rsidR="00AF51F1" w:rsidRDefault="00AF51F1">
      <w:pPr>
        <w:pStyle w:val="09-Bodytext"/>
        <w:pageBreakBefore/>
      </w:pPr>
    </w:p>
    <w:p w14:paraId="639513E7" w14:textId="77777777" w:rsidR="00AF51F1" w:rsidRDefault="00711D3C">
      <w:pPr>
        <w:pStyle w:val="09-Bodytext"/>
      </w:pPr>
      <w:r>
        <w:t>The total contributions expected to be made by the Board to the Fund for the year ending 31 March 2023 is approximately £0.410m.</w:t>
      </w:r>
    </w:p>
    <w:p w14:paraId="69296041" w14:textId="77777777" w:rsidR="00AF51F1" w:rsidRDefault="00AF51F1">
      <w:pPr>
        <w:pStyle w:val="09-Bodytext"/>
        <w:rPr>
          <w:shd w:val="clear" w:color="auto" w:fill="FFFF00"/>
        </w:rPr>
      </w:pPr>
    </w:p>
    <w:p w14:paraId="735E878F" w14:textId="77777777" w:rsidR="00AF51F1" w:rsidRDefault="00711D3C">
      <w:pPr>
        <w:pStyle w:val="09-Bodytext"/>
      </w:pPr>
      <w:r>
        <w:t>The weighted average duration of the defined benefit obligation for Fund members is 20 years.</w:t>
      </w:r>
    </w:p>
    <w:p w14:paraId="0C837303" w14:textId="77777777" w:rsidR="00AF51F1" w:rsidRDefault="00AF51F1">
      <w:pPr>
        <w:pStyle w:val="09-Bodytext"/>
      </w:pPr>
    </w:p>
    <w:p w14:paraId="29DFE985" w14:textId="77777777" w:rsidR="00AF51F1" w:rsidRPr="00CA2E48" w:rsidRDefault="00711D3C" w:rsidP="00CA2E48">
      <w:pPr>
        <w:pStyle w:val="Heading3"/>
        <w:rPr>
          <w:rFonts w:ascii="Arial" w:eastAsia="Times New Roman" w:hAnsi="Arial" w:cs="Times New Roman"/>
          <w:b/>
          <w:bCs/>
          <w:color w:val="auto"/>
          <w:sz w:val="22"/>
          <w:szCs w:val="20"/>
        </w:rPr>
      </w:pPr>
      <w:r w:rsidRPr="00CA2E48">
        <w:rPr>
          <w:rFonts w:ascii="Arial" w:eastAsia="Times New Roman" w:hAnsi="Arial" w:cs="Times New Roman"/>
          <w:b/>
          <w:bCs/>
          <w:color w:val="auto"/>
          <w:sz w:val="22"/>
          <w:szCs w:val="20"/>
        </w:rPr>
        <w:t>Note 17:  External Audit Costs</w:t>
      </w:r>
    </w:p>
    <w:p w14:paraId="0E0E6C56" w14:textId="77777777" w:rsidR="00AF51F1" w:rsidRDefault="00AF51F1">
      <w:pPr>
        <w:pStyle w:val="09-Bodytext"/>
      </w:pPr>
    </w:p>
    <w:p w14:paraId="5A5ECAA0" w14:textId="77777777" w:rsidR="00AF51F1" w:rsidRDefault="00711D3C">
      <w:pPr>
        <w:pStyle w:val="09-Bodytext"/>
      </w:pPr>
      <w:r>
        <w:t>The Board has incurred the following external audit costs:</w:t>
      </w:r>
    </w:p>
    <w:p w14:paraId="01903C7D" w14:textId="77777777" w:rsidR="00AF51F1" w:rsidRDefault="00AF51F1">
      <w:pPr>
        <w:pStyle w:val="09-Bodytext"/>
        <w:rPr>
          <w:shd w:val="clear" w:color="auto" w:fill="FFFF00"/>
        </w:rPr>
      </w:pPr>
    </w:p>
    <w:tbl>
      <w:tblPr>
        <w:tblW w:w="5000" w:type="pct"/>
        <w:tblCellMar>
          <w:left w:w="10" w:type="dxa"/>
          <w:right w:w="10" w:type="dxa"/>
        </w:tblCellMar>
        <w:tblLook w:val="0000" w:firstRow="0" w:lastRow="0" w:firstColumn="0" w:lastColumn="0" w:noHBand="0" w:noVBand="0"/>
      </w:tblPr>
      <w:tblGrid>
        <w:gridCol w:w="6232"/>
        <w:gridCol w:w="1417"/>
        <w:gridCol w:w="1367"/>
      </w:tblGrid>
      <w:tr w:rsidR="00AF51F1" w14:paraId="11892B9B" w14:textId="77777777">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D2B27" w14:textId="77777777" w:rsidR="00AF51F1" w:rsidRDefault="00AF51F1">
            <w:pPr>
              <w:pStyle w:val="09-Bodytext"/>
              <w:rPr>
                <w:b/>
                <w:bC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D434D" w14:textId="77777777" w:rsidR="00AF51F1" w:rsidRDefault="00711D3C">
            <w:pPr>
              <w:pStyle w:val="09-Bodytext"/>
              <w:jc w:val="right"/>
              <w:rPr>
                <w:b/>
                <w:bCs/>
              </w:rPr>
            </w:pPr>
            <w:r>
              <w:rPr>
                <w:b/>
                <w:bCs/>
              </w:rPr>
              <w:t>2021/22</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B8E91" w14:textId="77777777" w:rsidR="00AF51F1" w:rsidRDefault="00711D3C">
            <w:pPr>
              <w:pStyle w:val="09-Bodytext"/>
              <w:jc w:val="right"/>
              <w:rPr>
                <w:b/>
                <w:bCs/>
              </w:rPr>
            </w:pPr>
            <w:r>
              <w:rPr>
                <w:b/>
                <w:bCs/>
              </w:rPr>
              <w:t>2020/21</w:t>
            </w:r>
          </w:p>
        </w:tc>
      </w:tr>
      <w:tr w:rsidR="00AF51F1" w14:paraId="32612B37" w14:textId="77777777">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A89B6" w14:textId="77777777" w:rsidR="00AF51F1" w:rsidRDefault="00AF51F1">
            <w:pPr>
              <w:pStyle w:val="09-Bodytext"/>
              <w:rPr>
                <w:b/>
                <w:bC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1F1FE" w14:textId="77777777" w:rsidR="00AF51F1" w:rsidRDefault="00711D3C">
            <w:pPr>
              <w:pStyle w:val="09-Bodytext"/>
              <w:jc w:val="right"/>
              <w:rPr>
                <w:b/>
                <w:bCs/>
              </w:rPr>
            </w:pPr>
            <w:r>
              <w:rPr>
                <w:b/>
                <w:bCs/>
              </w:rPr>
              <w:t>£000</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D862C" w14:textId="77777777" w:rsidR="00AF51F1" w:rsidRDefault="00711D3C">
            <w:pPr>
              <w:pStyle w:val="09-Bodytext"/>
              <w:jc w:val="right"/>
              <w:rPr>
                <w:b/>
                <w:bCs/>
              </w:rPr>
            </w:pPr>
            <w:r>
              <w:rPr>
                <w:b/>
                <w:bCs/>
              </w:rPr>
              <w:t>£000</w:t>
            </w:r>
          </w:p>
        </w:tc>
      </w:tr>
      <w:tr w:rsidR="00AF51F1" w14:paraId="70CD0F0B" w14:textId="77777777">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39FAA" w14:textId="77777777" w:rsidR="00AF51F1" w:rsidRDefault="00711D3C">
            <w:pPr>
              <w:pStyle w:val="09-Bodytext"/>
            </w:pPr>
            <w:r>
              <w:t xml:space="preserve">Fees payable to Audit Scotland </w:t>
            </w:r>
            <w:proofErr w:type="gramStart"/>
            <w:r>
              <w:t>with regard to</w:t>
            </w:r>
            <w:proofErr w:type="gramEnd"/>
            <w:r>
              <w:t xml:space="preserve"> external audit services carried out by the appointed auditor for the year</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12FEC" w14:textId="77777777" w:rsidR="00AF51F1" w:rsidRDefault="00711D3C">
            <w:pPr>
              <w:pStyle w:val="09-Bodytext"/>
              <w:jc w:val="right"/>
            </w:pPr>
            <w:r>
              <w:t>8</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8518B" w14:textId="77777777" w:rsidR="00AF51F1" w:rsidRDefault="00711D3C">
            <w:pPr>
              <w:pStyle w:val="09-Bodytext"/>
              <w:jc w:val="right"/>
            </w:pPr>
            <w:r>
              <w:t>8</w:t>
            </w:r>
          </w:p>
        </w:tc>
      </w:tr>
      <w:tr w:rsidR="00AF51F1" w14:paraId="010A152E" w14:textId="77777777">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71921" w14:textId="77777777" w:rsidR="00AF51F1" w:rsidRDefault="00711D3C">
            <w:pPr>
              <w:pStyle w:val="09-Bodytext"/>
              <w:rPr>
                <w:b/>
                <w:bCs/>
              </w:rPr>
            </w:pPr>
            <w:r>
              <w:rPr>
                <w:b/>
                <w:bCs/>
              </w:rPr>
              <w:t>Total</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BAB7B" w14:textId="77777777" w:rsidR="00AF51F1" w:rsidRDefault="00711D3C">
            <w:pPr>
              <w:pStyle w:val="09-Bodytext"/>
              <w:jc w:val="right"/>
              <w:rPr>
                <w:b/>
                <w:bCs/>
              </w:rPr>
            </w:pPr>
            <w:r>
              <w:rPr>
                <w:b/>
                <w:bCs/>
              </w:rPr>
              <w:t>8</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E52C5" w14:textId="77777777" w:rsidR="00AF51F1" w:rsidRDefault="00711D3C">
            <w:pPr>
              <w:pStyle w:val="09-Bodytext"/>
              <w:jc w:val="right"/>
              <w:rPr>
                <w:b/>
                <w:bCs/>
              </w:rPr>
            </w:pPr>
            <w:r>
              <w:rPr>
                <w:b/>
                <w:bCs/>
              </w:rPr>
              <w:t>8</w:t>
            </w:r>
          </w:p>
        </w:tc>
      </w:tr>
    </w:tbl>
    <w:p w14:paraId="7ADB2F5E" w14:textId="77777777" w:rsidR="00AF51F1" w:rsidRDefault="00AF51F1">
      <w:pPr>
        <w:pStyle w:val="09-Bodytext"/>
        <w:rPr>
          <w:shd w:val="clear" w:color="auto" w:fill="FFFF00"/>
        </w:rPr>
      </w:pPr>
    </w:p>
    <w:p w14:paraId="45B5290D" w14:textId="77777777" w:rsidR="00AF51F1" w:rsidRPr="007C65CC" w:rsidRDefault="00711D3C" w:rsidP="007C65CC">
      <w:pPr>
        <w:pStyle w:val="Heading3"/>
        <w:rPr>
          <w:rFonts w:ascii="Arial" w:eastAsia="Times New Roman" w:hAnsi="Arial" w:cs="Times New Roman"/>
          <w:b/>
          <w:bCs/>
          <w:color w:val="auto"/>
          <w:sz w:val="22"/>
          <w:szCs w:val="20"/>
        </w:rPr>
      </w:pPr>
      <w:r w:rsidRPr="007C65CC">
        <w:rPr>
          <w:rFonts w:ascii="Arial" w:eastAsia="Times New Roman" w:hAnsi="Arial" w:cs="Times New Roman"/>
          <w:b/>
          <w:bCs/>
          <w:color w:val="auto"/>
          <w:sz w:val="22"/>
          <w:szCs w:val="20"/>
        </w:rPr>
        <w:t>Note 18:  Grant Income</w:t>
      </w:r>
    </w:p>
    <w:p w14:paraId="51F4BF7F" w14:textId="77777777" w:rsidR="00AF51F1" w:rsidRDefault="00AF51F1">
      <w:pPr>
        <w:pStyle w:val="09-Bodytext"/>
      </w:pPr>
    </w:p>
    <w:p w14:paraId="35635AEE" w14:textId="77777777" w:rsidR="00AF51F1" w:rsidRDefault="00711D3C">
      <w:pPr>
        <w:pStyle w:val="09-Bodytext"/>
      </w:pPr>
      <w:r>
        <w:t>The following Government Grants were received during the year:</w:t>
      </w:r>
    </w:p>
    <w:p w14:paraId="3FA4369A" w14:textId="77777777" w:rsidR="00AF51F1" w:rsidRDefault="00AF51F1">
      <w:pPr>
        <w:pStyle w:val="09-Bodytext"/>
        <w:rPr>
          <w:shd w:val="clear" w:color="auto" w:fill="FFFF00"/>
        </w:rPr>
      </w:pPr>
    </w:p>
    <w:tbl>
      <w:tblPr>
        <w:tblW w:w="5000" w:type="pct"/>
        <w:tblCellMar>
          <w:left w:w="10" w:type="dxa"/>
          <w:right w:w="10" w:type="dxa"/>
        </w:tblCellMar>
        <w:tblLook w:val="0000" w:firstRow="0" w:lastRow="0" w:firstColumn="0" w:lastColumn="0" w:noHBand="0" w:noVBand="0"/>
      </w:tblPr>
      <w:tblGrid>
        <w:gridCol w:w="6232"/>
        <w:gridCol w:w="1417"/>
        <w:gridCol w:w="1367"/>
      </w:tblGrid>
      <w:tr w:rsidR="00AF51F1" w14:paraId="69E0FC09" w14:textId="77777777">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F7921" w14:textId="77777777" w:rsidR="00AF51F1" w:rsidRDefault="00AF51F1">
            <w:pPr>
              <w:pStyle w:val="09-Bodytext"/>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6AFE5" w14:textId="77777777" w:rsidR="00AF51F1" w:rsidRDefault="00711D3C">
            <w:pPr>
              <w:pStyle w:val="09-Bodytext"/>
              <w:jc w:val="right"/>
              <w:rPr>
                <w:b/>
                <w:bCs/>
              </w:rPr>
            </w:pPr>
            <w:r>
              <w:rPr>
                <w:b/>
                <w:bCs/>
              </w:rPr>
              <w:t>2021/22</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6B3EA" w14:textId="77777777" w:rsidR="00AF51F1" w:rsidRDefault="00711D3C">
            <w:pPr>
              <w:pStyle w:val="09-Bodytext"/>
              <w:jc w:val="right"/>
              <w:rPr>
                <w:b/>
                <w:bCs/>
              </w:rPr>
            </w:pPr>
            <w:r>
              <w:rPr>
                <w:b/>
                <w:bCs/>
              </w:rPr>
              <w:t>2020/21</w:t>
            </w:r>
          </w:p>
        </w:tc>
      </w:tr>
      <w:tr w:rsidR="00AF51F1" w14:paraId="175D59EA" w14:textId="77777777">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1D1EA" w14:textId="77777777" w:rsidR="00AF51F1" w:rsidRDefault="00AF51F1">
            <w:pPr>
              <w:pStyle w:val="09-Bodytext"/>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EE662" w14:textId="77777777" w:rsidR="00AF51F1" w:rsidRDefault="00711D3C">
            <w:pPr>
              <w:pStyle w:val="09-Bodytext"/>
              <w:jc w:val="right"/>
              <w:rPr>
                <w:b/>
                <w:bCs/>
              </w:rPr>
            </w:pPr>
            <w:r>
              <w:rPr>
                <w:b/>
                <w:bCs/>
              </w:rPr>
              <w:t>£000</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9187D" w14:textId="77777777" w:rsidR="00AF51F1" w:rsidRDefault="00711D3C">
            <w:pPr>
              <w:pStyle w:val="09-Bodytext"/>
              <w:jc w:val="right"/>
              <w:rPr>
                <w:b/>
                <w:bCs/>
              </w:rPr>
            </w:pPr>
            <w:r>
              <w:rPr>
                <w:b/>
                <w:bCs/>
              </w:rPr>
              <w:t>£000</w:t>
            </w:r>
          </w:p>
        </w:tc>
      </w:tr>
      <w:tr w:rsidR="00AF51F1" w14:paraId="65C90D0C" w14:textId="77777777">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F2C10" w14:textId="77777777" w:rsidR="00AF51F1" w:rsidRDefault="00711D3C">
            <w:pPr>
              <w:pStyle w:val="09-Bodytext"/>
            </w:pPr>
            <w:r>
              <w:t>Cabinet Office Funding</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A5BA5" w14:textId="77777777" w:rsidR="00AF51F1" w:rsidRDefault="00711D3C">
            <w:pPr>
              <w:pStyle w:val="09-Bodytext"/>
              <w:jc w:val="right"/>
            </w:pPr>
            <w:r>
              <w:t>0</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AB045" w14:textId="77777777" w:rsidR="00AF51F1" w:rsidRDefault="00711D3C">
            <w:pPr>
              <w:pStyle w:val="09-Bodytext"/>
              <w:jc w:val="right"/>
            </w:pPr>
            <w:r>
              <w:t>20</w:t>
            </w:r>
          </w:p>
        </w:tc>
      </w:tr>
      <w:tr w:rsidR="00AF51F1" w14:paraId="1A469353" w14:textId="77777777">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67839" w14:textId="77777777" w:rsidR="00AF51F1" w:rsidRDefault="00711D3C">
            <w:pPr>
              <w:pStyle w:val="09-Bodytext"/>
            </w:pPr>
            <w:r>
              <w:t>Scottish Government Grant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F0E02" w14:textId="77777777" w:rsidR="00AF51F1" w:rsidRDefault="00711D3C">
            <w:pPr>
              <w:pStyle w:val="09-Bodytext"/>
              <w:jc w:val="right"/>
            </w:pPr>
            <w:r>
              <w:t>0</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91A67" w14:textId="77777777" w:rsidR="00AF51F1" w:rsidRDefault="00711D3C">
            <w:pPr>
              <w:pStyle w:val="09-Bodytext"/>
              <w:jc w:val="right"/>
            </w:pPr>
            <w:r>
              <w:t>31</w:t>
            </w:r>
          </w:p>
        </w:tc>
      </w:tr>
      <w:tr w:rsidR="00AF51F1" w14:paraId="6E4E7BF9" w14:textId="77777777">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E8995" w14:textId="77777777" w:rsidR="00AF51F1" w:rsidRDefault="00711D3C">
            <w:pPr>
              <w:pStyle w:val="09-Bodytext"/>
            </w:pPr>
            <w:r>
              <w:t xml:space="preserve">Scottish Government Grant – Barclay Funding </w:t>
            </w:r>
          </w:p>
          <w:p w14:paraId="1740D5F9" w14:textId="77777777" w:rsidR="00AF51F1" w:rsidRDefault="00711D3C">
            <w:pPr>
              <w:pStyle w:val="09-Bodytext"/>
              <w:rPr>
                <w:i/>
                <w:iCs/>
                <w:sz w:val="20"/>
              </w:rPr>
            </w:pPr>
            <w:r>
              <w:rPr>
                <w:i/>
                <w:iCs/>
                <w:sz w:val="20"/>
              </w:rPr>
              <w:t>(2020/21 allocation of £0.594m less £0.209m underspend returned)</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D77D1" w14:textId="77777777" w:rsidR="00AF51F1" w:rsidRDefault="00711D3C">
            <w:pPr>
              <w:pStyle w:val="09-Bodytext"/>
              <w:jc w:val="right"/>
            </w:pPr>
            <w:r>
              <w:t>704</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A55E7" w14:textId="77777777" w:rsidR="00AF51F1" w:rsidRDefault="00711D3C">
            <w:pPr>
              <w:pStyle w:val="09-Bodytext"/>
              <w:jc w:val="right"/>
            </w:pPr>
            <w:r>
              <w:t>385</w:t>
            </w:r>
          </w:p>
        </w:tc>
      </w:tr>
      <w:tr w:rsidR="00AF51F1" w14:paraId="7A1EF499" w14:textId="77777777">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6DF70" w14:textId="77777777" w:rsidR="00AF51F1" w:rsidRDefault="00711D3C">
            <w:pPr>
              <w:pStyle w:val="09-Bodytext"/>
              <w:rPr>
                <w:b/>
                <w:bCs/>
              </w:rPr>
            </w:pPr>
            <w:r>
              <w:rPr>
                <w:b/>
                <w:bCs/>
              </w:rPr>
              <w:t>Total</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6BFC0" w14:textId="77777777" w:rsidR="00AF51F1" w:rsidRDefault="00711D3C">
            <w:pPr>
              <w:pStyle w:val="09-Bodytext"/>
              <w:jc w:val="right"/>
              <w:rPr>
                <w:b/>
                <w:bCs/>
              </w:rPr>
            </w:pPr>
            <w:r>
              <w:rPr>
                <w:b/>
                <w:bCs/>
              </w:rPr>
              <w:t>704</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71073" w14:textId="77777777" w:rsidR="00AF51F1" w:rsidRDefault="00711D3C">
            <w:pPr>
              <w:pStyle w:val="09-Bodytext"/>
              <w:jc w:val="right"/>
              <w:rPr>
                <w:b/>
                <w:bCs/>
              </w:rPr>
            </w:pPr>
            <w:r>
              <w:rPr>
                <w:b/>
                <w:bCs/>
              </w:rPr>
              <w:t>436</w:t>
            </w:r>
          </w:p>
        </w:tc>
      </w:tr>
    </w:tbl>
    <w:p w14:paraId="109A9649" w14:textId="77777777" w:rsidR="00AF51F1" w:rsidRDefault="00AF51F1">
      <w:pPr>
        <w:pStyle w:val="09-Bodytext"/>
        <w:rPr>
          <w:shd w:val="clear" w:color="auto" w:fill="FFFF00"/>
        </w:rPr>
      </w:pPr>
    </w:p>
    <w:p w14:paraId="53A9A2EE" w14:textId="4D0D0DB2" w:rsidR="007753E2" w:rsidRDefault="007753E2">
      <w:pPr>
        <w:suppressAutoHyphens w:val="0"/>
        <w:rPr>
          <w:sz w:val="22"/>
          <w:szCs w:val="20"/>
        </w:rPr>
      </w:pPr>
      <w:r>
        <w:br w:type="page"/>
      </w:r>
    </w:p>
    <w:p w14:paraId="2DDC7514" w14:textId="77777777" w:rsidR="00AF51F1" w:rsidRPr="001309FF" w:rsidRDefault="00711D3C" w:rsidP="005E0E9A">
      <w:pPr>
        <w:pStyle w:val="Heading3"/>
        <w:rPr>
          <w:rFonts w:ascii="Arial" w:hAnsi="Arial" w:cs="Arial"/>
          <w:b/>
          <w:bCs/>
          <w:color w:val="000000" w:themeColor="text1"/>
        </w:rPr>
      </w:pPr>
      <w:r w:rsidRPr="001309FF">
        <w:rPr>
          <w:rFonts w:ascii="Arial" w:hAnsi="Arial" w:cs="Arial"/>
          <w:b/>
          <w:bCs/>
          <w:color w:val="000000" w:themeColor="text1"/>
        </w:rPr>
        <w:lastRenderedPageBreak/>
        <w:t>Note 19:  Balance Sheet – Reserves</w:t>
      </w:r>
    </w:p>
    <w:p w14:paraId="7D845A53" w14:textId="77777777" w:rsidR="00AF51F1" w:rsidRDefault="00AF51F1">
      <w:pPr>
        <w:pStyle w:val="09-Bodytext"/>
        <w:rPr>
          <w:shd w:val="clear" w:color="auto" w:fill="FFFF00"/>
        </w:rPr>
      </w:pPr>
    </w:p>
    <w:tbl>
      <w:tblPr>
        <w:tblW w:w="10774" w:type="dxa"/>
        <w:tblInd w:w="-856" w:type="dxa"/>
        <w:tblCellMar>
          <w:left w:w="10" w:type="dxa"/>
          <w:right w:w="10" w:type="dxa"/>
        </w:tblCellMar>
        <w:tblLook w:val="0000" w:firstRow="0" w:lastRow="0" w:firstColumn="0" w:lastColumn="0" w:noHBand="0" w:noVBand="0"/>
      </w:tblPr>
      <w:tblGrid>
        <w:gridCol w:w="1452"/>
        <w:gridCol w:w="1426"/>
        <w:gridCol w:w="1073"/>
        <w:gridCol w:w="1256"/>
        <w:gridCol w:w="1012"/>
        <w:gridCol w:w="1426"/>
        <w:gridCol w:w="1073"/>
        <w:gridCol w:w="1256"/>
        <w:gridCol w:w="1012"/>
      </w:tblGrid>
      <w:tr w:rsidR="00AF51F1" w14:paraId="5472D1BA" w14:textId="77777777">
        <w:tc>
          <w:tcPr>
            <w:tcW w:w="14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A2F17" w14:textId="77777777" w:rsidR="00AF51F1" w:rsidRDefault="00711D3C">
            <w:pPr>
              <w:pStyle w:val="09-Bodytext"/>
              <w:rPr>
                <w:b/>
                <w:bCs/>
              </w:rPr>
            </w:pPr>
            <w:r>
              <w:rPr>
                <w:b/>
                <w:bCs/>
              </w:rPr>
              <w:t>Unusable Reserves</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D78D2" w14:textId="77777777" w:rsidR="00AF51F1" w:rsidRDefault="00AF51F1">
            <w:pPr>
              <w:pStyle w:val="09-Bodytext"/>
              <w:jc w:val="right"/>
              <w:rPr>
                <w:b/>
                <w:bCs/>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0E69B" w14:textId="77777777" w:rsidR="00AF51F1" w:rsidRDefault="00AF51F1">
            <w:pPr>
              <w:pStyle w:val="09-Bodytext"/>
              <w:jc w:val="right"/>
              <w:rPr>
                <w:b/>
                <w:bCs/>
              </w:rPr>
            </w:pP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BABBD" w14:textId="77777777" w:rsidR="00AF51F1" w:rsidRDefault="00AF51F1">
            <w:pPr>
              <w:pStyle w:val="09-Bodytext"/>
              <w:jc w:val="right"/>
              <w:rPr>
                <w:b/>
                <w:bCs/>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84CEC" w14:textId="77777777" w:rsidR="00AF51F1" w:rsidRDefault="00711D3C">
            <w:pPr>
              <w:pStyle w:val="09-Bodytext"/>
              <w:jc w:val="right"/>
              <w:rPr>
                <w:b/>
                <w:bCs/>
              </w:rPr>
            </w:pPr>
            <w:r>
              <w:rPr>
                <w:b/>
                <w:bCs/>
              </w:rPr>
              <w:t>2021/22</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BDCB7" w14:textId="77777777" w:rsidR="00AF51F1" w:rsidRDefault="00AF51F1">
            <w:pPr>
              <w:pStyle w:val="09-Bodytext"/>
              <w:jc w:val="right"/>
              <w:rPr>
                <w:b/>
                <w:bCs/>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F304D" w14:textId="77777777" w:rsidR="00AF51F1" w:rsidRDefault="00AF51F1">
            <w:pPr>
              <w:pStyle w:val="09-Bodytext"/>
              <w:jc w:val="right"/>
              <w:rPr>
                <w:b/>
                <w:bCs/>
              </w:rPr>
            </w:pP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CA8F3" w14:textId="77777777" w:rsidR="00AF51F1" w:rsidRDefault="00AF51F1">
            <w:pPr>
              <w:pStyle w:val="09-Bodytext"/>
              <w:jc w:val="right"/>
              <w:rPr>
                <w:b/>
                <w:bCs/>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A6E36" w14:textId="77777777" w:rsidR="00AF51F1" w:rsidRDefault="00711D3C">
            <w:pPr>
              <w:pStyle w:val="09-Bodytext"/>
              <w:jc w:val="right"/>
              <w:rPr>
                <w:b/>
                <w:bCs/>
              </w:rPr>
            </w:pPr>
            <w:r>
              <w:rPr>
                <w:b/>
                <w:bCs/>
              </w:rPr>
              <w:t>2020/21</w:t>
            </w:r>
          </w:p>
        </w:tc>
      </w:tr>
      <w:tr w:rsidR="00AF51F1" w14:paraId="3D11C53F" w14:textId="77777777">
        <w:tc>
          <w:tcPr>
            <w:tcW w:w="14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4AAAE" w14:textId="77777777" w:rsidR="00AF51F1" w:rsidRDefault="00AF51F1">
            <w:pPr>
              <w:pStyle w:val="09-Bodytext"/>
              <w:rPr>
                <w:b/>
                <w:bCs/>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4B473" w14:textId="77777777" w:rsidR="00AF51F1" w:rsidRDefault="00711D3C">
            <w:pPr>
              <w:pStyle w:val="09-Bodytext"/>
              <w:jc w:val="right"/>
              <w:rPr>
                <w:b/>
                <w:bCs/>
              </w:rPr>
            </w:pPr>
            <w:r>
              <w:rPr>
                <w:b/>
                <w:bCs/>
              </w:rPr>
              <w:t>Capital Adjustment Account</w:t>
            </w: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B4E15" w14:textId="77777777" w:rsidR="00AF51F1" w:rsidRDefault="00711D3C">
            <w:pPr>
              <w:pStyle w:val="09-Bodytext"/>
              <w:jc w:val="right"/>
              <w:rPr>
                <w:b/>
                <w:bCs/>
              </w:rPr>
            </w:pPr>
            <w:r>
              <w:rPr>
                <w:b/>
                <w:bCs/>
              </w:rPr>
              <w:t>Pension Reserve</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F5F35" w14:textId="77777777" w:rsidR="00AF51F1" w:rsidRDefault="00711D3C">
            <w:pPr>
              <w:pStyle w:val="09-Bodytext"/>
              <w:jc w:val="right"/>
              <w:rPr>
                <w:b/>
                <w:bCs/>
              </w:rPr>
            </w:pPr>
            <w:r>
              <w:rPr>
                <w:b/>
                <w:bCs/>
              </w:rPr>
              <w:t>Employee Statutory Adj. Account</w:t>
            </w: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45D73" w14:textId="77777777" w:rsidR="00AF51F1" w:rsidRDefault="00711D3C">
            <w:pPr>
              <w:pStyle w:val="09-Bodytext"/>
              <w:jc w:val="right"/>
              <w:rPr>
                <w:b/>
                <w:bCs/>
              </w:rPr>
            </w:pPr>
            <w:r>
              <w:rPr>
                <w:b/>
                <w:bCs/>
              </w:rPr>
              <w:t>Total</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205E1" w14:textId="77777777" w:rsidR="00AF51F1" w:rsidRDefault="00711D3C">
            <w:pPr>
              <w:pStyle w:val="09-Bodytext"/>
              <w:jc w:val="right"/>
              <w:rPr>
                <w:b/>
                <w:bCs/>
              </w:rPr>
            </w:pPr>
            <w:r>
              <w:rPr>
                <w:b/>
                <w:bCs/>
              </w:rPr>
              <w:t>Capital Adjustment Account</w:t>
            </w: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86161" w14:textId="77777777" w:rsidR="00AF51F1" w:rsidRDefault="00711D3C">
            <w:pPr>
              <w:pStyle w:val="09-Bodytext"/>
              <w:jc w:val="right"/>
              <w:rPr>
                <w:b/>
                <w:bCs/>
              </w:rPr>
            </w:pPr>
            <w:r>
              <w:rPr>
                <w:b/>
                <w:bCs/>
              </w:rPr>
              <w:t>Pension Reserve</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C9B83" w14:textId="77777777" w:rsidR="00AF51F1" w:rsidRDefault="00711D3C">
            <w:pPr>
              <w:pStyle w:val="09-Bodytext"/>
              <w:jc w:val="right"/>
              <w:rPr>
                <w:b/>
                <w:bCs/>
              </w:rPr>
            </w:pPr>
            <w:r>
              <w:rPr>
                <w:b/>
                <w:bCs/>
              </w:rPr>
              <w:t>Employee Statutory Adj. Account</w:t>
            </w: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698D4" w14:textId="77777777" w:rsidR="00AF51F1" w:rsidRDefault="00711D3C">
            <w:pPr>
              <w:pStyle w:val="09-Bodytext"/>
              <w:jc w:val="right"/>
              <w:rPr>
                <w:b/>
                <w:bCs/>
              </w:rPr>
            </w:pPr>
            <w:r>
              <w:rPr>
                <w:b/>
                <w:bCs/>
              </w:rPr>
              <w:t>Total</w:t>
            </w:r>
          </w:p>
        </w:tc>
      </w:tr>
      <w:tr w:rsidR="00AF51F1" w14:paraId="10EAF111" w14:textId="77777777">
        <w:tc>
          <w:tcPr>
            <w:tcW w:w="14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8DF9F" w14:textId="77777777" w:rsidR="00AF51F1" w:rsidRDefault="00AF51F1">
            <w:pPr>
              <w:pStyle w:val="09-Bodytext"/>
              <w:rPr>
                <w:b/>
                <w:bCs/>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7B984" w14:textId="77777777" w:rsidR="00AF51F1" w:rsidRDefault="00711D3C">
            <w:pPr>
              <w:pStyle w:val="09-Bodytext"/>
              <w:jc w:val="right"/>
              <w:rPr>
                <w:b/>
                <w:bCs/>
              </w:rPr>
            </w:pPr>
            <w:r>
              <w:rPr>
                <w:b/>
                <w:bCs/>
              </w:rPr>
              <w:t>£000</w:t>
            </w: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4E660" w14:textId="77777777" w:rsidR="00AF51F1" w:rsidRDefault="00711D3C">
            <w:pPr>
              <w:pStyle w:val="09-Bodytext"/>
              <w:jc w:val="right"/>
              <w:rPr>
                <w:b/>
                <w:bCs/>
              </w:rPr>
            </w:pPr>
            <w:r>
              <w:rPr>
                <w:b/>
                <w:bCs/>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6E084" w14:textId="77777777" w:rsidR="00AF51F1" w:rsidRDefault="00711D3C">
            <w:pPr>
              <w:pStyle w:val="09-Bodytext"/>
              <w:jc w:val="right"/>
              <w:rPr>
                <w:b/>
                <w:bCs/>
              </w:rPr>
            </w:pPr>
            <w:r>
              <w:rPr>
                <w:b/>
                <w:bCs/>
              </w:rPr>
              <w:t>£000</w:t>
            </w: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01A86" w14:textId="77777777" w:rsidR="00AF51F1" w:rsidRDefault="00711D3C">
            <w:pPr>
              <w:pStyle w:val="09-Bodytext"/>
              <w:jc w:val="right"/>
              <w:rPr>
                <w:b/>
                <w:bCs/>
              </w:rPr>
            </w:pPr>
            <w:r>
              <w:rPr>
                <w:b/>
                <w:bCs/>
              </w:rPr>
              <w:t>£000</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62FBD" w14:textId="77777777" w:rsidR="00AF51F1" w:rsidRDefault="00711D3C">
            <w:pPr>
              <w:pStyle w:val="09-Bodytext"/>
              <w:jc w:val="right"/>
              <w:rPr>
                <w:b/>
                <w:bCs/>
              </w:rPr>
            </w:pPr>
            <w:r>
              <w:rPr>
                <w:b/>
                <w:bCs/>
              </w:rPr>
              <w:t>£000</w:t>
            </w: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2542F" w14:textId="77777777" w:rsidR="00AF51F1" w:rsidRDefault="00711D3C">
            <w:pPr>
              <w:pStyle w:val="09-Bodytext"/>
              <w:jc w:val="right"/>
              <w:rPr>
                <w:b/>
                <w:bCs/>
              </w:rPr>
            </w:pPr>
            <w:r>
              <w:rPr>
                <w:b/>
                <w:bCs/>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43F7A" w14:textId="77777777" w:rsidR="00AF51F1" w:rsidRDefault="00711D3C">
            <w:pPr>
              <w:pStyle w:val="09-Bodytext"/>
              <w:jc w:val="right"/>
              <w:rPr>
                <w:b/>
                <w:bCs/>
              </w:rPr>
            </w:pPr>
            <w:r>
              <w:rPr>
                <w:b/>
                <w:bCs/>
              </w:rPr>
              <w:t>£000</w:t>
            </w: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41232" w14:textId="77777777" w:rsidR="00AF51F1" w:rsidRDefault="00711D3C">
            <w:pPr>
              <w:pStyle w:val="09-Bodytext"/>
              <w:jc w:val="right"/>
              <w:rPr>
                <w:b/>
                <w:bCs/>
              </w:rPr>
            </w:pPr>
            <w:r>
              <w:rPr>
                <w:b/>
                <w:bCs/>
              </w:rPr>
              <w:t>£000</w:t>
            </w:r>
          </w:p>
        </w:tc>
      </w:tr>
      <w:tr w:rsidR="00AF51F1" w14:paraId="770AA9D9" w14:textId="77777777">
        <w:tc>
          <w:tcPr>
            <w:tcW w:w="14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ED80B" w14:textId="77777777" w:rsidR="00AF51F1" w:rsidRDefault="00711D3C">
            <w:pPr>
              <w:pStyle w:val="09-Bodytext"/>
            </w:pPr>
            <w:r>
              <w:t xml:space="preserve">Opening Balance 1 April </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2E0AF" w14:textId="77777777" w:rsidR="00AF51F1" w:rsidRDefault="00711D3C">
            <w:pPr>
              <w:pStyle w:val="09-Bodytext"/>
              <w:jc w:val="right"/>
            </w:pPr>
            <w:r>
              <w:t>177</w:t>
            </w: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26661" w14:textId="77777777" w:rsidR="00AF51F1" w:rsidRDefault="00711D3C">
            <w:pPr>
              <w:pStyle w:val="09-Bodytext"/>
              <w:jc w:val="right"/>
            </w:pPr>
            <w:r>
              <w:t>(2,200)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E51AE" w14:textId="77777777" w:rsidR="00AF51F1" w:rsidRDefault="00711D3C">
            <w:pPr>
              <w:pStyle w:val="09-Bodytext"/>
              <w:jc w:val="right"/>
            </w:pPr>
            <w:r>
              <w:t>(121)</w:t>
            </w: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07420" w14:textId="77777777" w:rsidR="00AF51F1" w:rsidRDefault="00711D3C">
            <w:pPr>
              <w:pStyle w:val="09-Bodytext"/>
              <w:jc w:val="right"/>
            </w:pPr>
            <w:r>
              <w:t>(2,144)</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3C978" w14:textId="77777777" w:rsidR="00AF51F1" w:rsidRDefault="00711D3C">
            <w:pPr>
              <w:pStyle w:val="09-Bodytext"/>
              <w:jc w:val="right"/>
            </w:pPr>
            <w:r>
              <w:t>2</w:t>
            </w: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4ABE7" w14:textId="77777777" w:rsidR="00AF51F1" w:rsidRDefault="00711D3C">
            <w:pPr>
              <w:pStyle w:val="09-Bodytext"/>
              <w:jc w:val="right"/>
            </w:pPr>
            <w:r>
              <w:t>(1,118)</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39650" w14:textId="77777777" w:rsidR="00AF51F1" w:rsidRDefault="00711D3C">
            <w:pPr>
              <w:pStyle w:val="09-Bodytext"/>
              <w:jc w:val="right"/>
            </w:pPr>
            <w:r>
              <w:t>(36)</w:t>
            </w: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A22EE" w14:textId="77777777" w:rsidR="00AF51F1" w:rsidRDefault="00711D3C">
            <w:pPr>
              <w:pStyle w:val="09-Bodytext"/>
              <w:jc w:val="right"/>
            </w:pPr>
            <w:r>
              <w:t>(1,152)</w:t>
            </w:r>
          </w:p>
        </w:tc>
      </w:tr>
      <w:tr w:rsidR="00AF51F1" w14:paraId="403125AC" w14:textId="77777777">
        <w:tc>
          <w:tcPr>
            <w:tcW w:w="14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2E7AB" w14:textId="77777777" w:rsidR="00AF51F1" w:rsidRDefault="00711D3C">
            <w:pPr>
              <w:pStyle w:val="09-Bodytext"/>
            </w:pPr>
            <w:r>
              <w:t>Movement in Pension Reserve</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E8A20" w14:textId="77777777" w:rsidR="00AF51F1" w:rsidRDefault="00711D3C">
            <w:pPr>
              <w:pStyle w:val="09-Bodytext"/>
              <w:jc w:val="right"/>
            </w:pPr>
            <w:r>
              <w:t>-</w:t>
            </w: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5C2F9" w14:textId="77777777" w:rsidR="00AF51F1" w:rsidRDefault="00711D3C">
            <w:pPr>
              <w:pStyle w:val="09-Bodytext"/>
              <w:jc w:val="right"/>
            </w:pPr>
            <w:r>
              <w:t>3,473</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579A9" w14:textId="77777777" w:rsidR="00AF51F1" w:rsidRDefault="00711D3C">
            <w:pPr>
              <w:pStyle w:val="09-Bodytext"/>
              <w:jc w:val="right"/>
            </w:pPr>
            <w:r>
              <w:t>-</w:t>
            </w: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932DD" w14:textId="77777777" w:rsidR="00AF51F1" w:rsidRDefault="00711D3C">
            <w:pPr>
              <w:pStyle w:val="09-Bodytext"/>
              <w:jc w:val="right"/>
            </w:pPr>
            <w:r>
              <w:t>3,473</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14CC1" w14:textId="77777777" w:rsidR="00AF51F1" w:rsidRDefault="00711D3C">
            <w:pPr>
              <w:pStyle w:val="09-Bodytext"/>
              <w:jc w:val="right"/>
            </w:pPr>
            <w:r>
              <w:t>-</w:t>
            </w: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A8DB6" w14:textId="77777777" w:rsidR="00AF51F1" w:rsidRDefault="00711D3C">
            <w:pPr>
              <w:pStyle w:val="09-Bodytext"/>
              <w:jc w:val="right"/>
            </w:pPr>
            <w:r>
              <w:t>(1,082)</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B53DD" w14:textId="77777777" w:rsidR="00AF51F1" w:rsidRDefault="00711D3C">
            <w:pPr>
              <w:pStyle w:val="09-Bodytext"/>
              <w:jc w:val="right"/>
            </w:pPr>
            <w:r>
              <w:t>-</w:t>
            </w: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D0978" w14:textId="77777777" w:rsidR="00AF51F1" w:rsidRDefault="00711D3C">
            <w:pPr>
              <w:pStyle w:val="09-Bodytext"/>
              <w:jc w:val="right"/>
            </w:pPr>
            <w:r>
              <w:t>(1,082)</w:t>
            </w:r>
          </w:p>
        </w:tc>
      </w:tr>
      <w:tr w:rsidR="00AF51F1" w14:paraId="4B0A4302" w14:textId="77777777">
        <w:tc>
          <w:tcPr>
            <w:tcW w:w="14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F1299" w14:textId="77777777" w:rsidR="00AF51F1" w:rsidRDefault="00711D3C">
            <w:pPr>
              <w:pStyle w:val="09-Bodytext"/>
            </w:pPr>
            <w:r>
              <w:t>Movement in Annual Leave Accrual</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94C9F" w14:textId="77777777" w:rsidR="00AF51F1" w:rsidRDefault="00711D3C">
            <w:pPr>
              <w:pStyle w:val="09-Bodytext"/>
              <w:jc w:val="right"/>
            </w:pPr>
            <w:r>
              <w:t>-</w:t>
            </w: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D762E" w14:textId="77777777" w:rsidR="00AF51F1" w:rsidRDefault="00711D3C">
            <w:pPr>
              <w:pStyle w:val="09-Bodytext"/>
              <w:jc w:val="right"/>
            </w:pPr>
            <w:r>
              <w:t>-</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BBDD2" w14:textId="77777777" w:rsidR="00AF51F1" w:rsidRDefault="00711D3C">
            <w:pPr>
              <w:pStyle w:val="09-Bodytext"/>
              <w:jc w:val="right"/>
            </w:pPr>
            <w:r>
              <w:t>31</w:t>
            </w: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DE579" w14:textId="77777777" w:rsidR="00AF51F1" w:rsidRDefault="00711D3C">
            <w:pPr>
              <w:pStyle w:val="09-Bodytext"/>
              <w:jc w:val="right"/>
            </w:pPr>
            <w:r>
              <w:t>31</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9380A" w14:textId="77777777" w:rsidR="00AF51F1" w:rsidRDefault="00711D3C">
            <w:pPr>
              <w:pStyle w:val="09-Bodytext"/>
              <w:jc w:val="right"/>
            </w:pPr>
            <w:r>
              <w:t>-</w:t>
            </w: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78C75" w14:textId="77777777" w:rsidR="00AF51F1" w:rsidRDefault="00711D3C">
            <w:pPr>
              <w:pStyle w:val="09-Bodytext"/>
              <w:jc w:val="right"/>
            </w:pPr>
            <w:r>
              <w:t>-</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44085" w14:textId="77777777" w:rsidR="00AF51F1" w:rsidRDefault="00711D3C">
            <w:pPr>
              <w:pStyle w:val="09-Bodytext"/>
              <w:jc w:val="right"/>
            </w:pPr>
            <w:r>
              <w:t>(85)</w:t>
            </w: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BEF5A" w14:textId="77777777" w:rsidR="00AF51F1" w:rsidRDefault="00711D3C">
            <w:pPr>
              <w:pStyle w:val="09-Bodytext"/>
              <w:jc w:val="right"/>
            </w:pPr>
            <w:r>
              <w:t>(85)</w:t>
            </w:r>
          </w:p>
        </w:tc>
      </w:tr>
      <w:tr w:rsidR="00AF51F1" w14:paraId="63584F35" w14:textId="77777777">
        <w:tc>
          <w:tcPr>
            <w:tcW w:w="14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99278" w14:textId="77777777" w:rsidR="00AF51F1" w:rsidRDefault="00711D3C">
            <w:pPr>
              <w:pStyle w:val="09-Bodytext"/>
            </w:pPr>
            <w:r>
              <w:t>Capital Expenditure charged against the General Fund</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4F144" w14:textId="77777777" w:rsidR="00AF51F1" w:rsidRDefault="00711D3C">
            <w:pPr>
              <w:pStyle w:val="09-Bodytext"/>
              <w:jc w:val="right"/>
            </w:pPr>
            <w:r>
              <w:t>-</w:t>
            </w: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89837" w14:textId="77777777" w:rsidR="00AF51F1" w:rsidRDefault="00711D3C">
            <w:pPr>
              <w:pStyle w:val="09-Bodytext"/>
              <w:jc w:val="right"/>
            </w:pPr>
            <w:r>
              <w:t>-</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46002" w14:textId="77777777" w:rsidR="00AF51F1" w:rsidRDefault="00711D3C">
            <w:pPr>
              <w:pStyle w:val="09-Bodytext"/>
              <w:jc w:val="right"/>
            </w:pPr>
            <w:r>
              <w:t>-</w:t>
            </w: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3E106" w14:textId="77777777" w:rsidR="00AF51F1" w:rsidRDefault="00711D3C">
            <w:pPr>
              <w:pStyle w:val="09-Bodytext"/>
              <w:jc w:val="right"/>
            </w:pPr>
            <w:r>
              <w:t>-</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C9B23" w14:textId="77777777" w:rsidR="00AF51F1" w:rsidRDefault="00711D3C">
            <w:pPr>
              <w:pStyle w:val="09-Bodytext"/>
              <w:jc w:val="right"/>
            </w:pPr>
            <w:r>
              <w:t>181</w:t>
            </w: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88694" w14:textId="77777777" w:rsidR="00AF51F1" w:rsidRDefault="00711D3C">
            <w:pPr>
              <w:pStyle w:val="09-Bodytext"/>
              <w:jc w:val="right"/>
            </w:pPr>
            <w:r>
              <w:t>-</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F8ECB" w14:textId="77777777" w:rsidR="00AF51F1" w:rsidRDefault="00711D3C">
            <w:pPr>
              <w:pStyle w:val="09-Bodytext"/>
              <w:jc w:val="right"/>
            </w:pPr>
            <w:r>
              <w:t>-</w:t>
            </w: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5CFF8" w14:textId="77777777" w:rsidR="00AF51F1" w:rsidRDefault="00711D3C">
            <w:pPr>
              <w:pStyle w:val="09-Bodytext"/>
              <w:jc w:val="right"/>
            </w:pPr>
            <w:r>
              <w:t>181</w:t>
            </w:r>
          </w:p>
        </w:tc>
      </w:tr>
      <w:tr w:rsidR="00AF51F1" w14:paraId="6BDE35B9" w14:textId="77777777">
        <w:tc>
          <w:tcPr>
            <w:tcW w:w="14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39698" w14:textId="77777777" w:rsidR="00AF51F1" w:rsidRDefault="00711D3C">
            <w:pPr>
              <w:pStyle w:val="09-Bodytext"/>
            </w:pPr>
            <w:r>
              <w:t xml:space="preserve">Charges for Depreciation of </w:t>
            </w:r>
            <w:proofErr w:type="spellStart"/>
            <w:proofErr w:type="gramStart"/>
            <w:r>
              <w:t>Non Current</w:t>
            </w:r>
            <w:proofErr w:type="spellEnd"/>
            <w:proofErr w:type="gramEnd"/>
            <w:r>
              <w:t xml:space="preserve"> Assets</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5261A" w14:textId="77777777" w:rsidR="00AF51F1" w:rsidRDefault="00711D3C">
            <w:pPr>
              <w:pStyle w:val="09-Bodytext"/>
              <w:jc w:val="right"/>
            </w:pPr>
            <w:r>
              <w:t>(21)</w:t>
            </w: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387F7" w14:textId="77777777" w:rsidR="00AF51F1" w:rsidRDefault="00711D3C">
            <w:pPr>
              <w:pStyle w:val="09-Bodytext"/>
              <w:jc w:val="right"/>
            </w:pPr>
            <w:r>
              <w:t>-</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3E45F" w14:textId="77777777" w:rsidR="00AF51F1" w:rsidRDefault="00711D3C">
            <w:pPr>
              <w:pStyle w:val="09-Bodytext"/>
              <w:jc w:val="right"/>
            </w:pPr>
            <w:r>
              <w:t>-</w:t>
            </w: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D01F4" w14:textId="77777777" w:rsidR="00AF51F1" w:rsidRDefault="00711D3C">
            <w:pPr>
              <w:pStyle w:val="09-Bodytext"/>
              <w:jc w:val="right"/>
            </w:pPr>
            <w:r>
              <w:t>(21)</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80C7A1" w14:textId="77777777" w:rsidR="00AF51F1" w:rsidRDefault="00711D3C">
            <w:pPr>
              <w:pStyle w:val="09-Bodytext"/>
              <w:jc w:val="right"/>
            </w:pPr>
            <w:r>
              <w:t>(4)</w:t>
            </w: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74B18" w14:textId="77777777" w:rsidR="00AF51F1" w:rsidRDefault="00711D3C">
            <w:pPr>
              <w:pStyle w:val="09-Bodytext"/>
              <w:jc w:val="right"/>
            </w:pPr>
            <w:r>
              <w:t>-</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8CF3B" w14:textId="77777777" w:rsidR="00AF51F1" w:rsidRDefault="00711D3C">
            <w:pPr>
              <w:pStyle w:val="09-Bodytext"/>
              <w:jc w:val="right"/>
            </w:pPr>
            <w:r>
              <w:t>-</w:t>
            </w: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2D97C" w14:textId="77777777" w:rsidR="00AF51F1" w:rsidRDefault="00711D3C">
            <w:pPr>
              <w:pStyle w:val="09-Bodytext"/>
              <w:jc w:val="right"/>
            </w:pPr>
            <w:r>
              <w:t>(4)</w:t>
            </w:r>
          </w:p>
        </w:tc>
      </w:tr>
      <w:tr w:rsidR="00AF51F1" w14:paraId="507CAB73" w14:textId="77777777">
        <w:tc>
          <w:tcPr>
            <w:tcW w:w="14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FE594" w14:textId="77777777" w:rsidR="00AF51F1" w:rsidRDefault="00711D3C">
            <w:pPr>
              <w:pStyle w:val="09-Bodytext"/>
            </w:pPr>
            <w:r>
              <w:t>Amortisation of Intangible Assets</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743D8" w14:textId="77777777" w:rsidR="00AF51F1" w:rsidRDefault="00711D3C">
            <w:pPr>
              <w:pStyle w:val="09-Bodytext"/>
              <w:jc w:val="right"/>
            </w:pPr>
            <w:r>
              <w:t>-</w:t>
            </w: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29095" w14:textId="77777777" w:rsidR="00AF51F1" w:rsidRDefault="00711D3C">
            <w:pPr>
              <w:pStyle w:val="09-Bodytext"/>
              <w:jc w:val="right"/>
            </w:pPr>
            <w:r>
              <w:t>-</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1792C" w14:textId="77777777" w:rsidR="00AF51F1" w:rsidRDefault="00711D3C">
            <w:pPr>
              <w:pStyle w:val="09-Bodytext"/>
              <w:jc w:val="right"/>
            </w:pPr>
            <w:r>
              <w:t>-</w:t>
            </w: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26D0B" w14:textId="77777777" w:rsidR="00AF51F1" w:rsidRDefault="00711D3C">
            <w:pPr>
              <w:pStyle w:val="09-Bodytext"/>
              <w:jc w:val="right"/>
            </w:pPr>
            <w:r>
              <w:t>-</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E1398" w14:textId="77777777" w:rsidR="00AF51F1" w:rsidRDefault="00711D3C">
            <w:pPr>
              <w:pStyle w:val="09-Bodytext"/>
              <w:jc w:val="right"/>
            </w:pPr>
            <w:r>
              <w:t>(2)</w:t>
            </w: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26477" w14:textId="77777777" w:rsidR="00AF51F1" w:rsidRDefault="00711D3C">
            <w:pPr>
              <w:pStyle w:val="09-Bodytext"/>
              <w:jc w:val="right"/>
            </w:pPr>
            <w:r>
              <w:t>-</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5168D" w14:textId="77777777" w:rsidR="00AF51F1" w:rsidRDefault="00711D3C">
            <w:pPr>
              <w:pStyle w:val="09-Bodytext"/>
              <w:jc w:val="right"/>
            </w:pPr>
            <w:r>
              <w:t>-</w:t>
            </w: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EF9AA" w14:textId="77777777" w:rsidR="00AF51F1" w:rsidRDefault="00711D3C">
            <w:pPr>
              <w:pStyle w:val="09-Bodytext"/>
              <w:jc w:val="right"/>
            </w:pPr>
            <w:r>
              <w:t>(2)</w:t>
            </w:r>
          </w:p>
        </w:tc>
      </w:tr>
      <w:tr w:rsidR="00AF51F1" w14:paraId="3B0C8D34" w14:textId="77777777">
        <w:tc>
          <w:tcPr>
            <w:tcW w:w="14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A398F" w14:textId="77777777" w:rsidR="00AF51F1" w:rsidRDefault="00711D3C">
            <w:pPr>
              <w:pStyle w:val="09-Bodytext"/>
              <w:rPr>
                <w:b/>
                <w:bCs/>
              </w:rPr>
            </w:pPr>
            <w:r>
              <w:rPr>
                <w:b/>
                <w:bCs/>
              </w:rPr>
              <w:t xml:space="preserve">Closing Balance as </w:t>
            </w:r>
            <w:proofErr w:type="gramStart"/>
            <w:r>
              <w:rPr>
                <w:b/>
                <w:bCs/>
              </w:rPr>
              <w:t>at</w:t>
            </w:r>
            <w:proofErr w:type="gramEnd"/>
            <w:r>
              <w:rPr>
                <w:b/>
                <w:bCs/>
              </w:rPr>
              <w:t xml:space="preserve"> 31 March</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F1A89" w14:textId="77777777" w:rsidR="00AF51F1" w:rsidRDefault="00711D3C">
            <w:pPr>
              <w:pStyle w:val="09-Bodytext"/>
              <w:jc w:val="right"/>
              <w:rPr>
                <w:b/>
                <w:bCs/>
              </w:rPr>
            </w:pPr>
            <w:r>
              <w:rPr>
                <w:b/>
                <w:bCs/>
              </w:rPr>
              <w:t>156</w:t>
            </w: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9CFB6" w14:textId="77777777" w:rsidR="00AF51F1" w:rsidRDefault="00711D3C">
            <w:pPr>
              <w:pStyle w:val="09-Bodytext"/>
              <w:jc w:val="right"/>
              <w:rPr>
                <w:b/>
                <w:bCs/>
              </w:rPr>
            </w:pPr>
            <w:r>
              <w:rPr>
                <w:b/>
                <w:bCs/>
              </w:rPr>
              <w:t>1,273</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26012" w14:textId="77777777" w:rsidR="00AF51F1" w:rsidRDefault="00711D3C">
            <w:pPr>
              <w:pStyle w:val="09-Bodytext"/>
              <w:jc w:val="right"/>
              <w:rPr>
                <w:b/>
                <w:bCs/>
              </w:rPr>
            </w:pPr>
            <w:r>
              <w:rPr>
                <w:b/>
                <w:bCs/>
              </w:rPr>
              <w:t>(90)</w:t>
            </w: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C5C0B" w14:textId="77777777" w:rsidR="00AF51F1" w:rsidRDefault="00711D3C">
            <w:pPr>
              <w:pStyle w:val="09-Bodytext"/>
              <w:jc w:val="right"/>
              <w:rPr>
                <w:b/>
                <w:bCs/>
              </w:rPr>
            </w:pPr>
            <w:r>
              <w:rPr>
                <w:b/>
                <w:bCs/>
              </w:rPr>
              <w:t>1,339</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3F31B" w14:textId="77777777" w:rsidR="00AF51F1" w:rsidRDefault="00711D3C">
            <w:pPr>
              <w:pStyle w:val="09-Bodytext"/>
              <w:jc w:val="right"/>
              <w:rPr>
                <w:b/>
                <w:bCs/>
              </w:rPr>
            </w:pPr>
            <w:r>
              <w:rPr>
                <w:b/>
                <w:bCs/>
              </w:rPr>
              <w:t>177</w:t>
            </w: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215DF" w14:textId="77777777" w:rsidR="00AF51F1" w:rsidRDefault="00711D3C">
            <w:pPr>
              <w:pStyle w:val="09-Bodytext"/>
              <w:jc w:val="right"/>
              <w:rPr>
                <w:b/>
                <w:bCs/>
              </w:rPr>
            </w:pPr>
            <w:r>
              <w:rPr>
                <w:b/>
                <w:bCs/>
              </w:rPr>
              <w:t>(2,200)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DD54B" w14:textId="77777777" w:rsidR="00AF51F1" w:rsidRDefault="00711D3C">
            <w:pPr>
              <w:pStyle w:val="09-Bodytext"/>
              <w:jc w:val="right"/>
              <w:rPr>
                <w:b/>
                <w:bCs/>
              </w:rPr>
            </w:pPr>
            <w:r>
              <w:rPr>
                <w:b/>
                <w:bCs/>
              </w:rPr>
              <w:t>(121)</w:t>
            </w: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C6A73" w14:textId="77777777" w:rsidR="00AF51F1" w:rsidRDefault="00711D3C">
            <w:pPr>
              <w:pStyle w:val="09-Bodytext"/>
              <w:jc w:val="right"/>
              <w:rPr>
                <w:b/>
                <w:bCs/>
              </w:rPr>
            </w:pPr>
            <w:r>
              <w:rPr>
                <w:b/>
                <w:bCs/>
              </w:rPr>
              <w:t>(2,144)</w:t>
            </w:r>
          </w:p>
        </w:tc>
      </w:tr>
    </w:tbl>
    <w:p w14:paraId="6B91CC0B" w14:textId="77777777" w:rsidR="00AF51F1" w:rsidRDefault="00AF51F1">
      <w:pPr>
        <w:pStyle w:val="09-Bodytext"/>
        <w:rPr>
          <w:shd w:val="clear" w:color="auto" w:fill="FFFF00"/>
        </w:rPr>
      </w:pPr>
    </w:p>
    <w:p w14:paraId="534DBF20" w14:textId="77777777" w:rsidR="00AF51F1" w:rsidRDefault="00AF51F1">
      <w:pPr>
        <w:pStyle w:val="09-Bodytext"/>
        <w:rPr>
          <w:shd w:val="clear" w:color="auto" w:fill="FFFF00"/>
        </w:rPr>
      </w:pPr>
    </w:p>
    <w:tbl>
      <w:tblPr>
        <w:tblW w:w="9016" w:type="dxa"/>
        <w:tblCellMar>
          <w:left w:w="10" w:type="dxa"/>
          <w:right w:w="10" w:type="dxa"/>
        </w:tblCellMar>
        <w:tblLook w:val="0000" w:firstRow="0" w:lastRow="0" w:firstColumn="0" w:lastColumn="0" w:noHBand="0" w:noVBand="0"/>
      </w:tblPr>
      <w:tblGrid>
        <w:gridCol w:w="4531"/>
        <w:gridCol w:w="1134"/>
        <w:gridCol w:w="1134"/>
        <w:gridCol w:w="1134"/>
        <w:gridCol w:w="1083"/>
      </w:tblGrid>
      <w:tr w:rsidR="00AF51F1" w14:paraId="5F2D2EB4" w14:textId="77777777">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A15A6" w14:textId="77777777" w:rsidR="00AF51F1" w:rsidRDefault="00711D3C">
            <w:pPr>
              <w:pStyle w:val="09-Bodytext"/>
              <w:rPr>
                <w:b/>
                <w:bCs/>
              </w:rPr>
            </w:pPr>
            <w:r>
              <w:rPr>
                <w:b/>
                <w:bCs/>
              </w:rPr>
              <w:t>Usable Reserves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D7824" w14:textId="77777777" w:rsidR="00AF51F1" w:rsidRDefault="00AF51F1">
            <w:pPr>
              <w:pStyle w:val="09-Bodytext"/>
              <w:jc w:val="right"/>
              <w:rPr>
                <w:b/>
                <w:bC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6DA10" w14:textId="77777777" w:rsidR="00AF51F1" w:rsidRDefault="00711D3C">
            <w:pPr>
              <w:pStyle w:val="09-Bodytext"/>
              <w:jc w:val="right"/>
              <w:rPr>
                <w:b/>
                <w:bCs/>
              </w:rPr>
            </w:pPr>
            <w:r>
              <w:rPr>
                <w:b/>
                <w:bCs/>
              </w:rPr>
              <w:t>2021/22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8819D" w14:textId="77777777" w:rsidR="00AF51F1" w:rsidRDefault="00AF51F1">
            <w:pPr>
              <w:pStyle w:val="09-Bodytext"/>
              <w:jc w:val="right"/>
              <w:rPr>
                <w:b/>
                <w:bCs/>
              </w:rPr>
            </w:pP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129CA" w14:textId="77777777" w:rsidR="00AF51F1" w:rsidRDefault="00711D3C">
            <w:pPr>
              <w:pStyle w:val="09-Bodytext"/>
              <w:jc w:val="right"/>
              <w:rPr>
                <w:b/>
                <w:bCs/>
              </w:rPr>
            </w:pPr>
            <w:r>
              <w:rPr>
                <w:b/>
                <w:bCs/>
              </w:rPr>
              <w:t>2020/21</w:t>
            </w:r>
          </w:p>
        </w:tc>
      </w:tr>
      <w:tr w:rsidR="00AF51F1" w14:paraId="7C65EB08" w14:textId="77777777">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5A733" w14:textId="77777777" w:rsidR="00AF51F1" w:rsidRDefault="00AF51F1">
            <w:pPr>
              <w:pStyle w:val="09-Bodytext"/>
              <w:rPr>
                <w:b/>
                <w:bC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C3A60" w14:textId="77777777" w:rsidR="00AF51F1" w:rsidRDefault="00711D3C">
            <w:pPr>
              <w:pStyle w:val="09-Bodytext"/>
              <w:jc w:val="right"/>
              <w:rPr>
                <w:b/>
                <w:bCs/>
              </w:rPr>
            </w:pPr>
            <w:r>
              <w:rPr>
                <w:b/>
                <w:bCs/>
              </w:rPr>
              <w:t>General Fund Reserve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84F77" w14:textId="77777777" w:rsidR="00AF51F1" w:rsidRDefault="00AF51F1">
            <w:pPr>
              <w:pStyle w:val="09-Bodytext"/>
              <w:jc w:val="right"/>
              <w:rPr>
                <w:b/>
                <w:bCs/>
              </w:rPr>
            </w:pPr>
          </w:p>
          <w:p w14:paraId="213D52DC" w14:textId="77777777" w:rsidR="00AF51F1" w:rsidRDefault="00AF51F1">
            <w:pPr>
              <w:pStyle w:val="09-Bodytext"/>
              <w:jc w:val="right"/>
              <w:rPr>
                <w:b/>
                <w:bCs/>
              </w:rPr>
            </w:pPr>
          </w:p>
          <w:p w14:paraId="48A09877" w14:textId="77777777" w:rsidR="00AF51F1" w:rsidRDefault="00711D3C">
            <w:pPr>
              <w:pStyle w:val="09-Bodytext"/>
              <w:jc w:val="right"/>
              <w:rPr>
                <w:b/>
                <w:bCs/>
              </w:rPr>
            </w:pPr>
            <w:r>
              <w:rPr>
                <w:b/>
                <w:bCs/>
              </w:rPr>
              <w:t>Total</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5DF33" w14:textId="77777777" w:rsidR="00AF51F1" w:rsidRDefault="00711D3C">
            <w:pPr>
              <w:pStyle w:val="09-Bodytext"/>
              <w:jc w:val="right"/>
              <w:rPr>
                <w:b/>
                <w:bCs/>
              </w:rPr>
            </w:pPr>
            <w:r>
              <w:rPr>
                <w:b/>
                <w:bCs/>
              </w:rPr>
              <w:t>General Fund Reserve</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09CCB" w14:textId="77777777" w:rsidR="00AF51F1" w:rsidRDefault="00AF51F1">
            <w:pPr>
              <w:pStyle w:val="09-Bodytext"/>
              <w:jc w:val="right"/>
              <w:rPr>
                <w:b/>
                <w:bCs/>
              </w:rPr>
            </w:pPr>
          </w:p>
          <w:p w14:paraId="2F9BD57D" w14:textId="77777777" w:rsidR="00AF51F1" w:rsidRDefault="00AF51F1">
            <w:pPr>
              <w:pStyle w:val="09-Bodytext"/>
              <w:jc w:val="right"/>
              <w:rPr>
                <w:b/>
                <w:bCs/>
              </w:rPr>
            </w:pPr>
          </w:p>
          <w:p w14:paraId="0859E9AB" w14:textId="77777777" w:rsidR="00AF51F1" w:rsidRDefault="00711D3C">
            <w:pPr>
              <w:pStyle w:val="09-Bodytext"/>
              <w:jc w:val="right"/>
              <w:rPr>
                <w:b/>
                <w:bCs/>
              </w:rPr>
            </w:pPr>
            <w:r>
              <w:rPr>
                <w:b/>
                <w:bCs/>
              </w:rPr>
              <w:t>Total</w:t>
            </w:r>
          </w:p>
        </w:tc>
      </w:tr>
      <w:tr w:rsidR="00AF51F1" w14:paraId="4382EACD" w14:textId="77777777">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68EA9" w14:textId="77777777" w:rsidR="00AF51F1" w:rsidRDefault="00AF51F1">
            <w:pPr>
              <w:pStyle w:val="09-Bodytext"/>
              <w:rPr>
                <w:b/>
                <w:bC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BD3DE" w14:textId="77777777" w:rsidR="00AF51F1" w:rsidRDefault="00711D3C">
            <w:pPr>
              <w:pStyle w:val="09-Bodytext"/>
              <w:jc w:val="right"/>
              <w:rPr>
                <w:b/>
                <w:bCs/>
              </w:rPr>
            </w:pPr>
            <w:r>
              <w:rPr>
                <w:b/>
                <w:bCs/>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BC9D6" w14:textId="77777777" w:rsidR="00AF51F1" w:rsidRDefault="00711D3C">
            <w:pPr>
              <w:pStyle w:val="09-Bodytext"/>
              <w:jc w:val="right"/>
              <w:rPr>
                <w:b/>
                <w:bCs/>
              </w:rPr>
            </w:pPr>
            <w:r>
              <w:rPr>
                <w:b/>
                <w:bCs/>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AD695" w14:textId="77777777" w:rsidR="00AF51F1" w:rsidRDefault="00711D3C">
            <w:pPr>
              <w:pStyle w:val="09-Bodytext"/>
              <w:jc w:val="right"/>
              <w:rPr>
                <w:b/>
                <w:bCs/>
              </w:rPr>
            </w:pPr>
            <w:r>
              <w:rPr>
                <w:b/>
                <w:bCs/>
              </w:rPr>
              <w:t>£000</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6E2AC" w14:textId="77777777" w:rsidR="00AF51F1" w:rsidRDefault="00711D3C">
            <w:pPr>
              <w:pStyle w:val="09-Bodytext"/>
              <w:jc w:val="right"/>
              <w:rPr>
                <w:b/>
                <w:bCs/>
              </w:rPr>
            </w:pPr>
            <w:r>
              <w:rPr>
                <w:b/>
                <w:bCs/>
              </w:rPr>
              <w:t>£000</w:t>
            </w:r>
          </w:p>
        </w:tc>
      </w:tr>
      <w:tr w:rsidR="00AF51F1" w14:paraId="0E57D41A" w14:textId="77777777">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6A04E" w14:textId="77777777" w:rsidR="00AF51F1" w:rsidRDefault="00711D3C">
            <w:pPr>
              <w:pStyle w:val="09-Bodytext"/>
            </w:pPr>
            <w:r>
              <w:t>Opening Balance 1 April</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07E0B" w14:textId="77777777" w:rsidR="00AF51F1" w:rsidRDefault="00711D3C">
            <w:pPr>
              <w:pStyle w:val="09-Bodytext"/>
              <w:jc w:val="right"/>
            </w:pPr>
            <w:r>
              <w:t>1,127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03E31" w14:textId="77777777" w:rsidR="00AF51F1" w:rsidRDefault="00711D3C">
            <w:pPr>
              <w:pStyle w:val="09-Bodytext"/>
              <w:jc w:val="right"/>
            </w:pPr>
            <w:r>
              <w:t>1,127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EC19B" w14:textId="77777777" w:rsidR="00AF51F1" w:rsidRDefault="00711D3C">
            <w:pPr>
              <w:pStyle w:val="09-Bodytext"/>
              <w:jc w:val="right"/>
            </w:pPr>
            <w:r>
              <w:t>947</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62F0D" w14:textId="77777777" w:rsidR="00AF51F1" w:rsidRDefault="00711D3C">
            <w:pPr>
              <w:pStyle w:val="09-Bodytext"/>
              <w:jc w:val="right"/>
            </w:pPr>
            <w:r>
              <w:t>947</w:t>
            </w:r>
          </w:p>
        </w:tc>
      </w:tr>
      <w:tr w:rsidR="00AF51F1" w14:paraId="4E7605C0" w14:textId="77777777">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09CC5" w14:textId="77777777" w:rsidR="00AF51F1" w:rsidRDefault="00711D3C">
            <w:pPr>
              <w:pStyle w:val="09-Bodytext"/>
            </w:pPr>
            <w:r>
              <w:t>Increase / (Decrease) in Reserve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B1BAB" w14:textId="77777777" w:rsidR="00AF51F1" w:rsidRDefault="00711D3C">
            <w:pPr>
              <w:pStyle w:val="09-Bodytext"/>
              <w:jc w:val="right"/>
            </w:pPr>
            <w:r>
              <w:t>352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12A64" w14:textId="77777777" w:rsidR="00AF51F1" w:rsidRDefault="00711D3C">
            <w:pPr>
              <w:pStyle w:val="09-Bodytext"/>
              <w:jc w:val="right"/>
            </w:pPr>
            <w:r>
              <w:t>352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40BCD" w14:textId="77777777" w:rsidR="00AF51F1" w:rsidRDefault="00711D3C">
            <w:pPr>
              <w:pStyle w:val="09-Bodytext"/>
              <w:jc w:val="right"/>
            </w:pPr>
            <w:r>
              <w:t>180</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5B0A1" w14:textId="77777777" w:rsidR="00AF51F1" w:rsidRDefault="00711D3C">
            <w:pPr>
              <w:pStyle w:val="09-Bodytext"/>
              <w:jc w:val="right"/>
            </w:pPr>
            <w:r>
              <w:t>180</w:t>
            </w:r>
          </w:p>
        </w:tc>
      </w:tr>
      <w:tr w:rsidR="00AF51F1" w14:paraId="117025F7" w14:textId="77777777">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77AEE" w14:textId="77777777" w:rsidR="00AF51F1" w:rsidRDefault="00711D3C">
            <w:pPr>
              <w:pStyle w:val="09-Bodytext"/>
              <w:rPr>
                <w:b/>
                <w:bCs/>
              </w:rPr>
            </w:pPr>
            <w:r>
              <w:rPr>
                <w:b/>
                <w:bCs/>
              </w:rPr>
              <w:t xml:space="preserve">Closing Balance as </w:t>
            </w:r>
            <w:proofErr w:type="gramStart"/>
            <w:r>
              <w:rPr>
                <w:b/>
                <w:bCs/>
              </w:rPr>
              <w:t>at</w:t>
            </w:r>
            <w:proofErr w:type="gramEnd"/>
            <w:r>
              <w:rPr>
                <w:b/>
                <w:bCs/>
              </w:rPr>
              <w:t xml:space="preserve"> 31 March</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3D0AF" w14:textId="77777777" w:rsidR="00AF51F1" w:rsidRDefault="00711D3C">
            <w:pPr>
              <w:pStyle w:val="09-Bodytext"/>
              <w:jc w:val="right"/>
              <w:rPr>
                <w:b/>
                <w:bCs/>
              </w:rPr>
            </w:pPr>
            <w:r>
              <w:rPr>
                <w:b/>
                <w:bCs/>
              </w:rPr>
              <w:t>1,479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98358" w14:textId="77777777" w:rsidR="00AF51F1" w:rsidRDefault="00711D3C">
            <w:pPr>
              <w:pStyle w:val="09-Bodytext"/>
              <w:jc w:val="right"/>
              <w:rPr>
                <w:b/>
                <w:bCs/>
              </w:rPr>
            </w:pPr>
            <w:r>
              <w:rPr>
                <w:b/>
                <w:bCs/>
              </w:rPr>
              <w:t>1,479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0A287" w14:textId="77777777" w:rsidR="00AF51F1" w:rsidRDefault="00711D3C">
            <w:pPr>
              <w:pStyle w:val="09-Bodytext"/>
              <w:jc w:val="right"/>
              <w:rPr>
                <w:b/>
                <w:bCs/>
              </w:rPr>
            </w:pPr>
            <w:r>
              <w:rPr>
                <w:b/>
                <w:bCs/>
              </w:rPr>
              <w:t>1,127</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813E6" w14:textId="77777777" w:rsidR="00AF51F1" w:rsidRDefault="00711D3C">
            <w:pPr>
              <w:pStyle w:val="09-Bodytext"/>
              <w:jc w:val="right"/>
              <w:rPr>
                <w:b/>
                <w:bCs/>
              </w:rPr>
            </w:pPr>
            <w:r>
              <w:rPr>
                <w:b/>
                <w:bCs/>
              </w:rPr>
              <w:t>1,127</w:t>
            </w:r>
          </w:p>
        </w:tc>
      </w:tr>
    </w:tbl>
    <w:p w14:paraId="166D2C2E" w14:textId="77777777" w:rsidR="00AF51F1" w:rsidRDefault="00AF51F1">
      <w:pPr>
        <w:pStyle w:val="09-Bodytext"/>
      </w:pPr>
    </w:p>
    <w:p w14:paraId="7544A412" w14:textId="77777777" w:rsidR="00AF51F1" w:rsidRDefault="00AF51F1">
      <w:pPr>
        <w:pStyle w:val="09-Bodytext"/>
      </w:pPr>
    </w:p>
    <w:p w14:paraId="65572BB1" w14:textId="2EB32172" w:rsidR="007753E2" w:rsidRDefault="007753E2">
      <w:pPr>
        <w:suppressAutoHyphens w:val="0"/>
        <w:rPr>
          <w:sz w:val="22"/>
          <w:szCs w:val="20"/>
        </w:rPr>
      </w:pPr>
      <w:r>
        <w:br w:type="page"/>
      </w:r>
    </w:p>
    <w:p w14:paraId="5311CB44" w14:textId="77777777" w:rsidR="00AF51F1" w:rsidRPr="001309FF" w:rsidRDefault="00711D3C" w:rsidP="005E0E9A">
      <w:pPr>
        <w:pStyle w:val="Heading3"/>
        <w:rPr>
          <w:rFonts w:ascii="Arial" w:hAnsi="Arial" w:cs="Arial"/>
          <w:b/>
          <w:bCs/>
          <w:color w:val="000000" w:themeColor="text1"/>
        </w:rPr>
      </w:pPr>
      <w:r w:rsidRPr="001309FF">
        <w:rPr>
          <w:rFonts w:ascii="Arial" w:hAnsi="Arial" w:cs="Arial"/>
          <w:b/>
          <w:bCs/>
          <w:color w:val="000000" w:themeColor="text1"/>
        </w:rPr>
        <w:lastRenderedPageBreak/>
        <w:t>Note 20:  Financing and Management of Liquid Resources</w:t>
      </w:r>
    </w:p>
    <w:p w14:paraId="6CAFC7E4" w14:textId="77777777" w:rsidR="00AF51F1" w:rsidRDefault="00AF51F1">
      <w:pPr>
        <w:pStyle w:val="09-Bodytext"/>
      </w:pPr>
    </w:p>
    <w:p w14:paraId="2E946E04" w14:textId="77777777" w:rsidR="00AF51F1" w:rsidRDefault="00711D3C">
      <w:pPr>
        <w:pStyle w:val="09-Bodytext"/>
      </w:pPr>
      <w:r>
        <w:t>Liquid resources are held by South Lanarkshire Council as lead authority and are available to the Board as required.</w:t>
      </w:r>
    </w:p>
    <w:p w14:paraId="0F4D506B" w14:textId="77777777" w:rsidR="00AF51F1" w:rsidRDefault="00AF51F1">
      <w:pPr>
        <w:pStyle w:val="09-Bodytext"/>
      </w:pPr>
    </w:p>
    <w:p w14:paraId="2412DEDB" w14:textId="77777777" w:rsidR="00AF51F1" w:rsidRDefault="00AF51F1">
      <w:pPr>
        <w:pStyle w:val="09-Bodytext"/>
      </w:pPr>
    </w:p>
    <w:p w14:paraId="02FC4410" w14:textId="77777777" w:rsidR="00AF51F1" w:rsidRPr="001309FF" w:rsidRDefault="00711D3C" w:rsidP="005E0E9A">
      <w:pPr>
        <w:pStyle w:val="Heading3"/>
        <w:rPr>
          <w:rFonts w:ascii="Arial" w:hAnsi="Arial" w:cs="Arial"/>
          <w:b/>
          <w:bCs/>
          <w:color w:val="000000" w:themeColor="text1"/>
        </w:rPr>
      </w:pPr>
      <w:r w:rsidRPr="001309FF">
        <w:rPr>
          <w:rFonts w:ascii="Arial" w:hAnsi="Arial" w:cs="Arial"/>
          <w:b/>
          <w:bCs/>
          <w:color w:val="000000" w:themeColor="text1"/>
        </w:rPr>
        <w:t>Note 21:  Comprehensive Income and Expenditure Statement – financing and investment income and expenditure</w:t>
      </w:r>
    </w:p>
    <w:p w14:paraId="22CBDEC0" w14:textId="77777777" w:rsidR="00AF51F1" w:rsidRDefault="00AF51F1">
      <w:pPr>
        <w:pStyle w:val="09-Bodytext"/>
        <w:rPr>
          <w:shd w:val="clear" w:color="auto" w:fill="FFFF00"/>
        </w:rPr>
      </w:pPr>
    </w:p>
    <w:tbl>
      <w:tblPr>
        <w:tblW w:w="9016" w:type="dxa"/>
        <w:tblCellMar>
          <w:left w:w="10" w:type="dxa"/>
          <w:right w:w="10" w:type="dxa"/>
        </w:tblCellMar>
        <w:tblLook w:val="0000" w:firstRow="0" w:lastRow="0" w:firstColumn="0" w:lastColumn="0" w:noHBand="0" w:noVBand="0"/>
      </w:tblPr>
      <w:tblGrid>
        <w:gridCol w:w="6232"/>
        <w:gridCol w:w="1418"/>
        <w:gridCol w:w="1366"/>
      </w:tblGrid>
      <w:tr w:rsidR="00AF51F1" w14:paraId="0D64C687" w14:textId="77777777">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D236E" w14:textId="77777777" w:rsidR="00AF51F1" w:rsidRDefault="00AF51F1">
            <w:pPr>
              <w:pStyle w:val="09-Bodytext"/>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4D581" w14:textId="77777777" w:rsidR="00AF51F1" w:rsidRDefault="00711D3C">
            <w:pPr>
              <w:pStyle w:val="09-Bodytext"/>
              <w:jc w:val="right"/>
              <w:rPr>
                <w:b/>
                <w:bCs/>
              </w:rPr>
            </w:pPr>
            <w:r>
              <w:rPr>
                <w:b/>
                <w:bCs/>
              </w:rPr>
              <w:t>2021/22</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F8596" w14:textId="77777777" w:rsidR="00AF51F1" w:rsidRDefault="00711D3C">
            <w:pPr>
              <w:pStyle w:val="09-Bodytext"/>
              <w:jc w:val="right"/>
              <w:rPr>
                <w:b/>
                <w:bCs/>
              </w:rPr>
            </w:pPr>
            <w:r>
              <w:rPr>
                <w:b/>
                <w:bCs/>
              </w:rPr>
              <w:t>2020/21</w:t>
            </w:r>
          </w:p>
        </w:tc>
      </w:tr>
      <w:tr w:rsidR="00AF51F1" w14:paraId="5A178CC7" w14:textId="77777777">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0E668" w14:textId="77777777" w:rsidR="00AF51F1" w:rsidRDefault="00AF51F1">
            <w:pPr>
              <w:pStyle w:val="09-Bodytext"/>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41AEA" w14:textId="77777777" w:rsidR="00AF51F1" w:rsidRDefault="00711D3C">
            <w:pPr>
              <w:pStyle w:val="09-Bodytext"/>
              <w:jc w:val="right"/>
              <w:rPr>
                <w:b/>
                <w:bCs/>
              </w:rPr>
            </w:pPr>
            <w:r>
              <w:rPr>
                <w:b/>
                <w:bCs/>
              </w:rPr>
              <w:t>£000</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97C05" w14:textId="77777777" w:rsidR="00AF51F1" w:rsidRDefault="00711D3C">
            <w:pPr>
              <w:pStyle w:val="09-Bodytext"/>
              <w:jc w:val="right"/>
              <w:rPr>
                <w:b/>
                <w:bCs/>
              </w:rPr>
            </w:pPr>
            <w:r>
              <w:rPr>
                <w:b/>
                <w:bCs/>
              </w:rPr>
              <w:t>£000</w:t>
            </w:r>
          </w:p>
        </w:tc>
      </w:tr>
      <w:tr w:rsidR="00AF51F1" w14:paraId="61B1D659" w14:textId="77777777">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09AA3" w14:textId="77777777" w:rsidR="00AF51F1" w:rsidRDefault="00711D3C">
            <w:pPr>
              <w:pStyle w:val="09-Bodytext"/>
            </w:pPr>
            <w:r>
              <w:t>Pension Interest Cost and Expected Return on Pensions Assets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95214" w14:textId="77777777" w:rsidR="00AF51F1" w:rsidRDefault="00711D3C">
            <w:pPr>
              <w:pStyle w:val="09-Bodytext"/>
              <w:jc w:val="right"/>
            </w:pPr>
            <w:r>
              <w:t>51</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EB490" w14:textId="77777777" w:rsidR="00AF51F1" w:rsidRDefault="00711D3C">
            <w:pPr>
              <w:pStyle w:val="09-Bodytext"/>
              <w:jc w:val="right"/>
            </w:pPr>
            <w:r>
              <w:t>30</w:t>
            </w:r>
          </w:p>
        </w:tc>
      </w:tr>
      <w:tr w:rsidR="00AF51F1" w14:paraId="61A08E12" w14:textId="77777777">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8EC98" w14:textId="77777777" w:rsidR="00AF51F1" w:rsidRDefault="00711D3C">
            <w:pPr>
              <w:pStyle w:val="09-Bodytext"/>
              <w:rPr>
                <w:b/>
                <w:bCs/>
              </w:rPr>
            </w:pPr>
            <w:r>
              <w:rPr>
                <w:b/>
                <w:bCs/>
              </w:rPr>
              <w:t>Total</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98260" w14:textId="77777777" w:rsidR="00AF51F1" w:rsidRDefault="00711D3C">
            <w:pPr>
              <w:pStyle w:val="09-Bodytext"/>
              <w:jc w:val="right"/>
              <w:rPr>
                <w:b/>
                <w:bCs/>
              </w:rPr>
            </w:pPr>
            <w:r>
              <w:rPr>
                <w:b/>
                <w:bCs/>
              </w:rPr>
              <w:t>51</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B59CA" w14:textId="77777777" w:rsidR="00AF51F1" w:rsidRDefault="00711D3C">
            <w:pPr>
              <w:pStyle w:val="09-Bodytext"/>
              <w:jc w:val="right"/>
              <w:rPr>
                <w:b/>
                <w:bCs/>
              </w:rPr>
            </w:pPr>
            <w:r>
              <w:rPr>
                <w:b/>
                <w:bCs/>
              </w:rPr>
              <w:t>30</w:t>
            </w:r>
          </w:p>
        </w:tc>
      </w:tr>
    </w:tbl>
    <w:p w14:paraId="6777418C" w14:textId="77777777" w:rsidR="00AF51F1" w:rsidRDefault="00AF51F1">
      <w:pPr>
        <w:pStyle w:val="09-Bodytext"/>
        <w:rPr>
          <w:shd w:val="clear" w:color="auto" w:fill="FFFF00"/>
        </w:rPr>
      </w:pPr>
    </w:p>
    <w:p w14:paraId="651A7F1C" w14:textId="77777777" w:rsidR="00AF51F1" w:rsidRPr="001309FF" w:rsidRDefault="00711D3C" w:rsidP="005E0E9A">
      <w:pPr>
        <w:pStyle w:val="Heading3"/>
        <w:rPr>
          <w:rFonts w:ascii="Arial" w:hAnsi="Arial" w:cs="Arial"/>
          <w:b/>
          <w:bCs/>
          <w:color w:val="000000" w:themeColor="text1"/>
        </w:rPr>
      </w:pPr>
      <w:r w:rsidRPr="001309FF">
        <w:rPr>
          <w:rFonts w:ascii="Arial" w:hAnsi="Arial" w:cs="Arial"/>
          <w:b/>
          <w:bCs/>
          <w:color w:val="000000" w:themeColor="text1"/>
        </w:rPr>
        <w:t>Note 22:  Going Concern</w:t>
      </w:r>
    </w:p>
    <w:p w14:paraId="448B3A8D" w14:textId="77777777" w:rsidR="00AF51F1" w:rsidRDefault="00AF51F1">
      <w:pPr>
        <w:pStyle w:val="09-Bodytext"/>
        <w:rPr>
          <w:shd w:val="clear" w:color="auto" w:fill="FFFF00"/>
        </w:rPr>
      </w:pPr>
    </w:p>
    <w:p w14:paraId="2C5203D9" w14:textId="77777777" w:rsidR="00AF51F1" w:rsidRDefault="00711D3C">
      <w:pPr>
        <w:pStyle w:val="09-Bodytext"/>
      </w:pPr>
      <w:r>
        <w:t xml:space="preserve">As </w:t>
      </w:r>
      <w:proofErr w:type="gramStart"/>
      <w:r>
        <w:t>at</w:t>
      </w:r>
      <w:proofErr w:type="gramEnd"/>
      <w:r>
        <w:t xml:space="preserve"> 31 March 2022, the Balance Sheet of the Board shows a Net Asset position of £2.818m.  This is made up of a net Long Term Pension Reserve of £1.273m and net assets of £1.545m.</w:t>
      </w:r>
    </w:p>
    <w:p w14:paraId="616A6064" w14:textId="77777777" w:rsidR="00AF51F1" w:rsidRDefault="00AF51F1">
      <w:pPr>
        <w:pStyle w:val="09-Bodytext"/>
        <w:rPr>
          <w:shd w:val="clear" w:color="auto" w:fill="FFFF00"/>
        </w:rPr>
      </w:pPr>
    </w:p>
    <w:p w14:paraId="4900BDE2" w14:textId="6AD707E0" w:rsidR="00AF51F1" w:rsidRDefault="00711D3C">
      <w:pPr>
        <w:pStyle w:val="09-Bodytext"/>
      </w:pPr>
      <w:r>
        <w:t>There are statutory arrangements for funding the long-term deficit in respect of the net pension liability and the statutory accumulated absences, as detailed in the Movement in Reserves Statement on page 2</w:t>
      </w:r>
      <w:r w:rsidR="00CF09F9">
        <w:t>3</w:t>
      </w:r>
      <w:r>
        <w:t xml:space="preserve">, leaving a General Fund Reserve of £1.479m to be carried forward for use in future years. This will be </w:t>
      </w:r>
      <w:proofErr w:type="gramStart"/>
      <w:r>
        <w:t>taken into account</w:t>
      </w:r>
      <w:proofErr w:type="gramEnd"/>
      <w:r>
        <w:t xml:space="preserve"> in future years’ budget strategies.</w:t>
      </w:r>
    </w:p>
    <w:p w14:paraId="3C8173F9" w14:textId="77777777" w:rsidR="00AF51F1" w:rsidRDefault="00AF51F1">
      <w:pPr>
        <w:pStyle w:val="09-Bodytext"/>
      </w:pPr>
    </w:p>
    <w:p w14:paraId="7807EE31" w14:textId="6B67245B" w:rsidR="00155E63" w:rsidRDefault="00155E63">
      <w:pPr>
        <w:suppressAutoHyphens w:val="0"/>
        <w:rPr>
          <w:sz w:val="22"/>
          <w:szCs w:val="20"/>
        </w:rPr>
      </w:pPr>
      <w:r>
        <w:br w:type="page"/>
      </w:r>
    </w:p>
    <w:p w14:paraId="25E3F414" w14:textId="77777777" w:rsidR="002564D1" w:rsidRPr="008371F5" w:rsidRDefault="002564D1" w:rsidP="008371F5">
      <w:pPr>
        <w:pStyle w:val="Heading2"/>
        <w:rPr>
          <w:bCs w:val="0"/>
          <w:sz w:val="24"/>
          <w:szCs w:val="24"/>
        </w:rPr>
      </w:pPr>
      <w:r w:rsidRPr="008371F5">
        <w:rPr>
          <w:bCs w:val="0"/>
          <w:sz w:val="24"/>
          <w:szCs w:val="24"/>
        </w:rPr>
        <w:lastRenderedPageBreak/>
        <w:t>Independent auditor’s report to the members of Lanarkshire Valuation Joint Board and the Accounts Commission</w:t>
      </w:r>
    </w:p>
    <w:p w14:paraId="3495F65D" w14:textId="77777777" w:rsidR="008371F5" w:rsidRDefault="008371F5" w:rsidP="008371F5">
      <w:pPr>
        <w:pStyle w:val="Title"/>
        <w:rPr>
          <w:rFonts w:ascii="Arial" w:eastAsia="Times New Roman" w:hAnsi="Arial" w:cs="Arial"/>
          <w:b/>
          <w:spacing w:val="0"/>
          <w:kern w:val="0"/>
          <w:sz w:val="22"/>
          <w:szCs w:val="22"/>
          <w:lang w:eastAsia="en-GB"/>
        </w:rPr>
      </w:pPr>
    </w:p>
    <w:p w14:paraId="028AA063" w14:textId="45625CA6" w:rsidR="00C7772A" w:rsidRDefault="00C7772A" w:rsidP="008371F5">
      <w:pPr>
        <w:pStyle w:val="Title"/>
        <w:rPr>
          <w:rFonts w:ascii="Arial" w:eastAsia="Times New Roman" w:hAnsi="Arial" w:cs="Arial"/>
          <w:b/>
          <w:spacing w:val="0"/>
          <w:kern w:val="0"/>
          <w:sz w:val="22"/>
          <w:szCs w:val="22"/>
          <w:lang w:eastAsia="en-GB"/>
        </w:rPr>
      </w:pPr>
      <w:r w:rsidRPr="008371F5">
        <w:rPr>
          <w:rFonts w:ascii="Arial" w:eastAsia="Times New Roman" w:hAnsi="Arial" w:cs="Arial"/>
          <w:b/>
          <w:spacing w:val="0"/>
          <w:kern w:val="0"/>
          <w:sz w:val="22"/>
          <w:szCs w:val="22"/>
          <w:lang w:eastAsia="en-GB"/>
        </w:rPr>
        <w:t>Reporting on the audit of the financial statements</w:t>
      </w:r>
    </w:p>
    <w:p w14:paraId="69892B63" w14:textId="77777777" w:rsidR="00DA042F" w:rsidRPr="00DA042F" w:rsidRDefault="00DA042F" w:rsidP="00DA042F">
      <w:pPr>
        <w:rPr>
          <w:lang w:eastAsia="en-GB"/>
        </w:rPr>
      </w:pPr>
    </w:p>
    <w:p w14:paraId="1B379D28" w14:textId="4E526D86" w:rsidR="00C7772A" w:rsidRDefault="00C7772A" w:rsidP="00DA042F">
      <w:pPr>
        <w:pStyle w:val="Title"/>
        <w:rPr>
          <w:rFonts w:ascii="Arial" w:hAnsi="Arial" w:cs="Arial"/>
          <w:b/>
          <w:bCs/>
          <w:sz w:val="22"/>
          <w:szCs w:val="22"/>
        </w:rPr>
      </w:pPr>
      <w:r w:rsidRPr="00DA042F">
        <w:rPr>
          <w:rFonts w:ascii="Arial" w:hAnsi="Arial" w:cs="Arial"/>
          <w:b/>
          <w:bCs/>
          <w:sz w:val="22"/>
          <w:szCs w:val="22"/>
        </w:rPr>
        <w:t>Opinion on financial statements</w:t>
      </w:r>
    </w:p>
    <w:p w14:paraId="4B40917C" w14:textId="77777777" w:rsidR="00DA042F" w:rsidRPr="00DA042F" w:rsidRDefault="00DA042F" w:rsidP="00DA042F"/>
    <w:p w14:paraId="3F94BAEF" w14:textId="77777777" w:rsidR="00C7772A" w:rsidRPr="008944FD" w:rsidRDefault="00C7772A" w:rsidP="00C7772A">
      <w:pPr>
        <w:pStyle w:val="AS-S01Stationarybar"/>
        <w:rPr>
          <w:rFonts w:cs="Arial"/>
          <w:color w:val="auto"/>
          <w:sz w:val="22"/>
          <w:szCs w:val="22"/>
        </w:rPr>
      </w:pPr>
      <w:r w:rsidRPr="008944FD">
        <w:rPr>
          <w:rFonts w:cs="Arial"/>
          <w:color w:val="auto"/>
          <w:sz w:val="22"/>
          <w:szCs w:val="22"/>
        </w:rPr>
        <w:t xml:space="preserve">I certify that I have audited the financial statements in the annual accounts of Lanarkshire Valuation Joint Board for the year ended 31 March 2022 under Part VII of the Local Government (Scotland) Act 1973. The financial statements comprise the Expenditure and Funding Analysis, Comprehensive Income and Expenditure Statement, Balance Sheet, Movement in Reserves Statement, Cash Flow Statement, and notes to the financial statements, including significant accounting policies. The financial reporting framework that has been applied in their preparation is applicable law and UK adopted international accounting standards, as </w:t>
      </w:r>
      <w:proofErr w:type="gramStart"/>
      <w:r w:rsidRPr="008944FD">
        <w:rPr>
          <w:rFonts w:cs="Arial"/>
          <w:color w:val="auto"/>
          <w:sz w:val="22"/>
          <w:szCs w:val="22"/>
        </w:rPr>
        <w:t>interpreted</w:t>
      </w:r>
      <w:proofErr w:type="gramEnd"/>
      <w:r w:rsidRPr="008944FD">
        <w:rPr>
          <w:rFonts w:cs="Arial"/>
          <w:color w:val="auto"/>
          <w:sz w:val="22"/>
          <w:szCs w:val="22"/>
        </w:rPr>
        <w:t xml:space="preserve"> and adapted by the Code of Practice on Local Authority Accounting in the United Kingdom 2021/22 (the 2021/22 Code).</w:t>
      </w:r>
    </w:p>
    <w:p w14:paraId="47D44488" w14:textId="77777777" w:rsidR="00C7772A" w:rsidRPr="008944FD" w:rsidRDefault="00C7772A" w:rsidP="00C7772A">
      <w:pPr>
        <w:pStyle w:val="AS-S01Stationarybar"/>
        <w:rPr>
          <w:rFonts w:cs="Arial"/>
          <w:color w:val="auto"/>
          <w:sz w:val="22"/>
          <w:szCs w:val="22"/>
        </w:rPr>
      </w:pPr>
    </w:p>
    <w:p w14:paraId="3555E9DA" w14:textId="77777777" w:rsidR="00C7772A" w:rsidRPr="008944FD" w:rsidRDefault="00C7772A" w:rsidP="00C7772A">
      <w:pPr>
        <w:pStyle w:val="AS-S01Stationarybar"/>
        <w:rPr>
          <w:rFonts w:cs="Arial"/>
          <w:color w:val="auto"/>
          <w:sz w:val="22"/>
          <w:szCs w:val="22"/>
        </w:rPr>
      </w:pPr>
      <w:bookmarkStart w:id="5" w:name="_Int_7Djk5IaZ"/>
      <w:r w:rsidRPr="008944FD">
        <w:rPr>
          <w:rFonts w:cs="Arial"/>
          <w:color w:val="auto"/>
          <w:sz w:val="22"/>
          <w:szCs w:val="22"/>
        </w:rPr>
        <w:t>In my opinion the</w:t>
      </w:r>
      <w:bookmarkEnd w:id="5"/>
      <w:r w:rsidRPr="008944FD">
        <w:rPr>
          <w:rFonts w:cs="Arial"/>
          <w:color w:val="auto"/>
          <w:sz w:val="22"/>
          <w:szCs w:val="22"/>
        </w:rPr>
        <w:t xml:space="preserve"> accompanying financial statements:</w:t>
      </w:r>
    </w:p>
    <w:p w14:paraId="3BF91EDF" w14:textId="77777777" w:rsidR="00C7772A" w:rsidRPr="008944FD" w:rsidRDefault="00C7772A" w:rsidP="00C7772A">
      <w:pPr>
        <w:pStyle w:val="AS-S01Stationarybar"/>
        <w:rPr>
          <w:rFonts w:cs="Arial"/>
          <w:color w:val="auto"/>
          <w:sz w:val="22"/>
          <w:szCs w:val="22"/>
        </w:rPr>
      </w:pPr>
    </w:p>
    <w:p w14:paraId="5F222036" w14:textId="472378B7" w:rsidR="00C7772A" w:rsidRDefault="00C7772A" w:rsidP="008944FD">
      <w:pPr>
        <w:pStyle w:val="AS-P08-Bullet1"/>
        <w:numPr>
          <w:ilvl w:val="0"/>
          <w:numId w:val="21"/>
        </w:numPr>
        <w:tabs>
          <w:tab w:val="left" w:pos="284"/>
          <w:tab w:val="left" w:pos="851"/>
        </w:tabs>
        <w:suppressAutoHyphens w:val="0"/>
        <w:autoSpaceDN/>
        <w:spacing w:after="0"/>
        <w:ind w:left="0" w:firstLine="0"/>
        <w:contextualSpacing/>
        <w:mirrorIndents/>
        <w:rPr>
          <w:rFonts w:cs="Arial"/>
          <w:color w:val="auto"/>
          <w:sz w:val="22"/>
          <w:szCs w:val="22"/>
        </w:rPr>
      </w:pPr>
      <w:r w:rsidRPr="008944FD">
        <w:rPr>
          <w:rFonts w:cs="Arial"/>
          <w:color w:val="auto"/>
          <w:sz w:val="22"/>
          <w:szCs w:val="22"/>
        </w:rPr>
        <w:t xml:space="preserve">give a true and fair view in accordance with applicable law and the 2021/22 Code of the state of affairs of Lanarkshire Valuation Joint Board as </w:t>
      </w:r>
      <w:bookmarkStart w:id="6" w:name="_Int_EaOqRFu4"/>
      <w:proofErr w:type="gramStart"/>
      <w:r w:rsidRPr="008944FD">
        <w:rPr>
          <w:rFonts w:cs="Arial"/>
          <w:color w:val="auto"/>
          <w:sz w:val="22"/>
          <w:szCs w:val="22"/>
        </w:rPr>
        <w:t>at</w:t>
      </w:r>
      <w:bookmarkEnd w:id="6"/>
      <w:proofErr w:type="gramEnd"/>
      <w:r w:rsidRPr="008944FD">
        <w:rPr>
          <w:rFonts w:cs="Arial"/>
          <w:color w:val="auto"/>
          <w:sz w:val="22"/>
          <w:szCs w:val="22"/>
        </w:rPr>
        <w:t xml:space="preserve"> 31 March 2022 and of its income and expenditure for the year then ended;</w:t>
      </w:r>
    </w:p>
    <w:p w14:paraId="36DAD2EE" w14:textId="77777777" w:rsidR="008944FD" w:rsidRPr="008944FD" w:rsidRDefault="008944FD" w:rsidP="008944FD">
      <w:pPr>
        <w:pStyle w:val="AS-P08-Bullet1"/>
        <w:numPr>
          <w:ilvl w:val="0"/>
          <w:numId w:val="0"/>
        </w:numPr>
        <w:tabs>
          <w:tab w:val="left" w:pos="284"/>
          <w:tab w:val="left" w:pos="851"/>
        </w:tabs>
        <w:suppressAutoHyphens w:val="0"/>
        <w:autoSpaceDN/>
        <w:spacing w:after="0"/>
        <w:mirrorIndents/>
        <w:rPr>
          <w:rFonts w:cs="Arial"/>
          <w:color w:val="auto"/>
          <w:sz w:val="22"/>
          <w:szCs w:val="22"/>
        </w:rPr>
      </w:pPr>
    </w:p>
    <w:p w14:paraId="3B3A913B" w14:textId="03DAD51F" w:rsidR="00C7772A" w:rsidRDefault="00C7772A" w:rsidP="008944FD">
      <w:pPr>
        <w:pStyle w:val="AS-P08-Bullet1"/>
        <w:numPr>
          <w:ilvl w:val="0"/>
          <w:numId w:val="21"/>
        </w:numPr>
        <w:tabs>
          <w:tab w:val="left" w:pos="284"/>
          <w:tab w:val="left" w:pos="851"/>
        </w:tabs>
        <w:suppressAutoHyphens w:val="0"/>
        <w:autoSpaceDN/>
        <w:spacing w:after="0"/>
        <w:ind w:left="0" w:firstLine="0"/>
        <w:mirrorIndents/>
        <w:rPr>
          <w:rFonts w:cs="Arial"/>
          <w:color w:val="auto"/>
          <w:sz w:val="22"/>
          <w:szCs w:val="22"/>
        </w:rPr>
      </w:pPr>
      <w:r w:rsidRPr="008944FD">
        <w:rPr>
          <w:rFonts w:cs="Arial"/>
          <w:color w:val="auto"/>
          <w:sz w:val="22"/>
          <w:szCs w:val="22"/>
        </w:rPr>
        <w:t xml:space="preserve">have been properly prepared in accordance with UK adopted international accounting standards, as interpreted and adapted by the 2021/22 </w:t>
      </w:r>
      <w:proofErr w:type="gramStart"/>
      <w:r w:rsidRPr="008944FD">
        <w:rPr>
          <w:rFonts w:cs="Arial"/>
          <w:color w:val="auto"/>
          <w:sz w:val="22"/>
          <w:szCs w:val="22"/>
        </w:rPr>
        <w:t>Code;</w:t>
      </w:r>
      <w:proofErr w:type="gramEnd"/>
      <w:r w:rsidRPr="008944FD">
        <w:rPr>
          <w:rFonts w:cs="Arial"/>
          <w:color w:val="auto"/>
          <w:sz w:val="22"/>
          <w:szCs w:val="22"/>
        </w:rPr>
        <w:t xml:space="preserve"> and</w:t>
      </w:r>
    </w:p>
    <w:p w14:paraId="066A0463" w14:textId="77777777" w:rsidR="008944FD" w:rsidRDefault="008944FD" w:rsidP="008944FD">
      <w:pPr>
        <w:pStyle w:val="ListParagraph"/>
        <w:mirrorIndents/>
        <w:rPr>
          <w:rFonts w:cs="Arial"/>
          <w:sz w:val="22"/>
          <w:szCs w:val="22"/>
        </w:rPr>
      </w:pPr>
    </w:p>
    <w:p w14:paraId="50E26790" w14:textId="77777777" w:rsidR="00C7772A" w:rsidRPr="008944FD" w:rsidRDefault="00C7772A" w:rsidP="008944FD">
      <w:pPr>
        <w:pStyle w:val="AS-P08-Bullet1"/>
        <w:numPr>
          <w:ilvl w:val="0"/>
          <w:numId w:val="21"/>
        </w:numPr>
        <w:tabs>
          <w:tab w:val="left" w:pos="284"/>
          <w:tab w:val="left" w:pos="851"/>
        </w:tabs>
        <w:suppressAutoHyphens w:val="0"/>
        <w:autoSpaceDN/>
        <w:spacing w:after="0"/>
        <w:ind w:left="0" w:firstLine="0"/>
        <w:mirrorIndents/>
        <w:rPr>
          <w:rFonts w:cs="Arial"/>
          <w:color w:val="auto"/>
          <w:sz w:val="22"/>
          <w:szCs w:val="22"/>
        </w:rPr>
      </w:pPr>
      <w:r w:rsidRPr="008944FD">
        <w:rPr>
          <w:rFonts w:cs="Arial"/>
          <w:color w:val="auto"/>
          <w:sz w:val="22"/>
          <w:szCs w:val="22"/>
        </w:rPr>
        <w:t xml:space="preserve">have been prepared in accordance with the requirements of the Local Government (Scotland) Act 1973, The Local Authority Accounts (Scotland) Regulations 2014, and the Local Government in Scotland Act 2003. </w:t>
      </w:r>
    </w:p>
    <w:p w14:paraId="77695288" w14:textId="77777777" w:rsidR="00DA042F" w:rsidRDefault="00DA042F" w:rsidP="00DA042F">
      <w:pPr>
        <w:pStyle w:val="Title"/>
        <w:rPr>
          <w:rFonts w:ascii="Arial" w:hAnsi="Arial" w:cs="Arial"/>
          <w:b/>
          <w:bCs/>
          <w:sz w:val="22"/>
          <w:szCs w:val="22"/>
        </w:rPr>
      </w:pPr>
    </w:p>
    <w:p w14:paraId="18ABE511" w14:textId="7396B34C" w:rsidR="00C7772A" w:rsidRPr="00DA042F" w:rsidRDefault="00C7772A" w:rsidP="00DA042F">
      <w:pPr>
        <w:pStyle w:val="Title"/>
        <w:rPr>
          <w:rFonts w:ascii="Arial" w:hAnsi="Arial" w:cs="Arial"/>
          <w:b/>
          <w:bCs/>
          <w:sz w:val="22"/>
          <w:szCs w:val="22"/>
        </w:rPr>
      </w:pPr>
      <w:r w:rsidRPr="00DA042F">
        <w:rPr>
          <w:rFonts w:ascii="Arial" w:hAnsi="Arial" w:cs="Arial"/>
          <w:b/>
          <w:bCs/>
          <w:sz w:val="22"/>
          <w:szCs w:val="22"/>
        </w:rPr>
        <w:t>Basis for opinion</w:t>
      </w:r>
    </w:p>
    <w:p w14:paraId="157F8A48" w14:textId="00E2267F" w:rsidR="00C7772A" w:rsidRPr="00C42896" w:rsidRDefault="00C7772A" w:rsidP="00C42896">
      <w:pPr>
        <w:pStyle w:val="AS-S01Stationarybar"/>
        <w:rPr>
          <w:sz w:val="22"/>
          <w:szCs w:val="22"/>
        </w:rPr>
      </w:pPr>
      <w:r w:rsidRPr="00C42896">
        <w:rPr>
          <w:sz w:val="22"/>
          <w:szCs w:val="22"/>
        </w:rPr>
        <w:t>I conducted my audit in accordance with applicable law and International Standards on Auditing (UK) (ISAs (UK)), as required by the Code of Audit Practice approved by the Accounts Commission for Scotland. My responsibilities under those standards are further described in the auditor’s responsibilities for the audit of the financial statements section of my report. I was appointed under arrangements approved by the Accounts Commission on 10 June 2021. The period of total uninterrupted appointment is 2 years. I am independent of the Lanarkshire Valuation Joint Board in accordance with the ethical requirements that are relevant to my audit of the financial statements in the UK including the Financial Reporting Council’s Ethical Standard, and I have fulfilled my other ethical responsibilities in accordance with these requirements. Non-audit services prohibited by the Ethical Standard were not provided to the Lanarkshire Valuation Joint Board. I believe that the audit evidence I have obtained is sufficient and appropriate to provide a basis for my opinion</w:t>
      </w:r>
      <w:r w:rsidR="00DA042F" w:rsidRPr="00C42896">
        <w:rPr>
          <w:sz w:val="22"/>
          <w:szCs w:val="22"/>
        </w:rPr>
        <w:t>.</w:t>
      </w:r>
      <w:r w:rsidRPr="00C42896">
        <w:rPr>
          <w:sz w:val="22"/>
          <w:szCs w:val="22"/>
        </w:rPr>
        <w:t xml:space="preserve"> </w:t>
      </w:r>
    </w:p>
    <w:p w14:paraId="513BDEE0" w14:textId="77777777" w:rsidR="00DA042F" w:rsidRPr="00DA042F" w:rsidRDefault="00DA042F" w:rsidP="00DA042F"/>
    <w:p w14:paraId="58E89C1C" w14:textId="77777777" w:rsidR="00C7772A" w:rsidRPr="00DA042F" w:rsidRDefault="00C7772A" w:rsidP="00DA042F">
      <w:pPr>
        <w:pStyle w:val="Title"/>
        <w:rPr>
          <w:rFonts w:ascii="Arial" w:hAnsi="Arial" w:cs="Arial"/>
          <w:b/>
          <w:bCs/>
          <w:sz w:val="22"/>
          <w:szCs w:val="22"/>
        </w:rPr>
      </w:pPr>
      <w:r w:rsidRPr="00DA042F">
        <w:rPr>
          <w:rFonts w:ascii="Arial" w:hAnsi="Arial" w:cs="Arial"/>
          <w:b/>
          <w:bCs/>
          <w:sz w:val="22"/>
          <w:szCs w:val="22"/>
        </w:rPr>
        <w:t>Conclusions relating to going concern basis of accounting</w:t>
      </w:r>
    </w:p>
    <w:p w14:paraId="6EB9C199" w14:textId="77777777" w:rsidR="00C7772A" w:rsidRPr="008944FD" w:rsidRDefault="00C7772A" w:rsidP="00C7772A">
      <w:pPr>
        <w:spacing w:before="120" w:after="240"/>
        <w:rPr>
          <w:rFonts w:cs="Arial"/>
          <w:sz w:val="22"/>
          <w:szCs w:val="22"/>
        </w:rPr>
      </w:pPr>
      <w:r w:rsidRPr="008944FD">
        <w:rPr>
          <w:rFonts w:cs="Arial"/>
          <w:sz w:val="22"/>
          <w:szCs w:val="22"/>
        </w:rPr>
        <w:t xml:space="preserve">I </w:t>
      </w:r>
      <w:bookmarkStart w:id="7" w:name="_Hlk116639656"/>
      <w:r w:rsidRPr="008944FD">
        <w:rPr>
          <w:rFonts w:cs="Arial"/>
          <w:sz w:val="22"/>
          <w:szCs w:val="22"/>
        </w:rPr>
        <w:t xml:space="preserve">have concluded that </w:t>
      </w:r>
      <w:bookmarkEnd w:id="7"/>
      <w:r w:rsidRPr="008944FD">
        <w:rPr>
          <w:rFonts w:cs="Arial"/>
          <w:sz w:val="22"/>
          <w:szCs w:val="22"/>
        </w:rPr>
        <w:t>the use of the going concern basis of accounting in the preparation of the financial statements is appropriate.</w:t>
      </w:r>
    </w:p>
    <w:p w14:paraId="67450C35" w14:textId="77777777" w:rsidR="00C7772A" w:rsidRPr="008944FD" w:rsidRDefault="00C7772A" w:rsidP="00C7772A">
      <w:pPr>
        <w:spacing w:before="120" w:after="240"/>
        <w:rPr>
          <w:rFonts w:cs="Arial"/>
          <w:sz w:val="22"/>
          <w:szCs w:val="22"/>
        </w:rPr>
      </w:pPr>
      <w:r w:rsidRPr="008944FD">
        <w:rPr>
          <w:rFonts w:cs="Arial"/>
          <w:sz w:val="22"/>
          <w:szCs w:val="22"/>
        </w:rPr>
        <w:t>Based on the work I have performed, I have not identified any material uncertainties relating to events or conditions that, individually or collectively, may cast significant doubt on the Lanarkshire Valuation Joint Board’s ability to continue to adopt the going concern basis of accounting for a period of at least twelve months from when the financial statements are authorised for issue.</w:t>
      </w:r>
    </w:p>
    <w:p w14:paraId="5EF23062" w14:textId="77777777" w:rsidR="00C7772A" w:rsidRPr="008944FD" w:rsidRDefault="00C7772A" w:rsidP="00C7772A">
      <w:pPr>
        <w:pStyle w:val="AS-P06-Bodytext"/>
        <w:rPr>
          <w:rFonts w:cs="Arial"/>
          <w:color w:val="auto"/>
          <w:sz w:val="22"/>
          <w:szCs w:val="22"/>
        </w:rPr>
      </w:pPr>
      <w:r w:rsidRPr="008944FD">
        <w:rPr>
          <w:rFonts w:cs="Arial"/>
          <w:color w:val="auto"/>
          <w:sz w:val="22"/>
          <w:szCs w:val="22"/>
        </w:rPr>
        <w:lastRenderedPageBreak/>
        <w:t xml:space="preserve">These conclusions are not intended to, nor do they, provide assurance on the Lanarkshire Valuation Joint Board’s current or future financial sustainability. However, I report on the Lanarkshire Valuations Joint Board’s arrangements for financial sustainability in a separate Annual Audit Report available from the </w:t>
      </w:r>
      <w:hyperlink r:id="rId15" w:history="1">
        <w:r w:rsidRPr="008944FD">
          <w:rPr>
            <w:rStyle w:val="Hyperlink"/>
            <w:rFonts w:cs="Arial"/>
            <w:color w:val="auto"/>
            <w:sz w:val="22"/>
            <w:szCs w:val="22"/>
          </w:rPr>
          <w:t>Audit Scotland website</w:t>
        </w:r>
      </w:hyperlink>
      <w:r w:rsidRPr="008944FD">
        <w:rPr>
          <w:rFonts w:cs="Arial"/>
          <w:color w:val="auto"/>
          <w:sz w:val="22"/>
          <w:szCs w:val="22"/>
        </w:rPr>
        <w:t>.</w:t>
      </w:r>
    </w:p>
    <w:p w14:paraId="0C37055C" w14:textId="4E55B499" w:rsidR="00C7772A" w:rsidRDefault="00C7772A" w:rsidP="00DA042F">
      <w:pPr>
        <w:pStyle w:val="Title"/>
        <w:rPr>
          <w:rFonts w:ascii="Arial" w:hAnsi="Arial" w:cs="Arial"/>
          <w:b/>
          <w:bCs/>
          <w:sz w:val="22"/>
          <w:szCs w:val="22"/>
        </w:rPr>
      </w:pPr>
      <w:r w:rsidRPr="00DA042F">
        <w:rPr>
          <w:rFonts w:ascii="Arial" w:hAnsi="Arial" w:cs="Arial"/>
          <w:b/>
          <w:bCs/>
          <w:sz w:val="22"/>
          <w:szCs w:val="22"/>
        </w:rPr>
        <w:t>Risks of material misstatement</w:t>
      </w:r>
    </w:p>
    <w:p w14:paraId="48FE2580" w14:textId="77777777" w:rsidR="00DA042F" w:rsidRPr="00DA042F" w:rsidRDefault="00DA042F" w:rsidP="00DA042F"/>
    <w:p w14:paraId="35D54129" w14:textId="77777777" w:rsidR="00C7772A" w:rsidRPr="008944FD" w:rsidRDefault="00C7772A" w:rsidP="00C7772A">
      <w:pPr>
        <w:pStyle w:val="AS-P06-Bodytext"/>
        <w:rPr>
          <w:rFonts w:cs="Arial"/>
          <w:color w:val="auto"/>
          <w:sz w:val="22"/>
          <w:szCs w:val="22"/>
        </w:rPr>
      </w:pPr>
      <w:r w:rsidRPr="008944FD">
        <w:rPr>
          <w:rFonts w:cs="Arial"/>
          <w:color w:val="auto"/>
          <w:sz w:val="22"/>
          <w:szCs w:val="22"/>
        </w:rPr>
        <w:t>I report in my Annual Audit Report the most significant assessed risks of material misstatement that I identified and my judgements thereon.</w:t>
      </w:r>
    </w:p>
    <w:p w14:paraId="51319836" w14:textId="77777777" w:rsidR="00C7772A" w:rsidRPr="00DA042F" w:rsidRDefault="00C7772A" w:rsidP="00DA042F">
      <w:pPr>
        <w:pStyle w:val="Title"/>
        <w:rPr>
          <w:rFonts w:ascii="Arial" w:hAnsi="Arial" w:cs="Arial"/>
          <w:b/>
          <w:bCs/>
          <w:sz w:val="22"/>
          <w:szCs w:val="22"/>
        </w:rPr>
      </w:pPr>
      <w:r w:rsidRPr="00DA042F">
        <w:rPr>
          <w:rFonts w:ascii="Arial" w:hAnsi="Arial" w:cs="Arial"/>
          <w:b/>
          <w:bCs/>
          <w:sz w:val="22"/>
          <w:szCs w:val="22"/>
        </w:rPr>
        <w:t>Responsibilities of the Treasurer and Lanarkshire Valuation Joint Board for the financial statements</w:t>
      </w:r>
    </w:p>
    <w:p w14:paraId="76A9330B" w14:textId="77777777" w:rsidR="00C7772A" w:rsidRPr="008944FD" w:rsidRDefault="00C7772A" w:rsidP="00C7772A">
      <w:pPr>
        <w:spacing w:before="120" w:after="240"/>
        <w:rPr>
          <w:rFonts w:cs="Arial"/>
          <w:sz w:val="22"/>
          <w:szCs w:val="22"/>
        </w:rPr>
      </w:pPr>
      <w:r w:rsidRPr="008944FD">
        <w:rPr>
          <w:rFonts w:cs="Arial"/>
          <w:sz w:val="22"/>
          <w:szCs w:val="22"/>
        </w:rPr>
        <w:t>As explained more fully in the Statement of Responsibilities, the Treasurer is responsible for the preparation of financial statements that give a true and fair view in accordance with the financial reporting framework, and for such internal control as the Treasurer determines is necessary to enable the preparation of financial statements that are free from material misstatement, whether due to fraud or error.</w:t>
      </w:r>
    </w:p>
    <w:p w14:paraId="54182E9F" w14:textId="77777777" w:rsidR="00C7772A" w:rsidRPr="008944FD" w:rsidRDefault="00C7772A" w:rsidP="00C7772A">
      <w:pPr>
        <w:pStyle w:val="AS-P06-Bodytext"/>
        <w:rPr>
          <w:rFonts w:cs="Arial"/>
          <w:color w:val="auto"/>
          <w:sz w:val="22"/>
          <w:szCs w:val="22"/>
        </w:rPr>
      </w:pPr>
      <w:r w:rsidRPr="008944FD">
        <w:rPr>
          <w:rFonts w:cs="Arial"/>
          <w:color w:val="auto"/>
          <w:sz w:val="22"/>
          <w:szCs w:val="22"/>
        </w:rPr>
        <w:t>In preparing the financial statements, the Treasurer is responsible for assessing the Lanarkshire Valuations Joint Board’s ability to continue as a going concern, disclosing, as applicable, matters related to going concern and using the going concern basis of accounting unless there is an intention to discontinue the Lanarkshire Valuations Joint Board’s operations.</w:t>
      </w:r>
    </w:p>
    <w:p w14:paraId="3EC16CE4" w14:textId="77777777" w:rsidR="00C7772A" w:rsidRPr="008944FD" w:rsidRDefault="00C7772A" w:rsidP="00C7772A">
      <w:pPr>
        <w:spacing w:before="120" w:after="240"/>
        <w:rPr>
          <w:rFonts w:cs="Arial"/>
          <w:sz w:val="22"/>
          <w:szCs w:val="22"/>
        </w:rPr>
      </w:pPr>
      <w:r w:rsidRPr="008944FD">
        <w:rPr>
          <w:rFonts w:cs="Arial"/>
          <w:sz w:val="22"/>
          <w:szCs w:val="22"/>
        </w:rPr>
        <w:t>The Lanarkshire Valuation Joint Board is responsible for overseeing the financial reporting process.</w:t>
      </w:r>
    </w:p>
    <w:p w14:paraId="1D7B4C95" w14:textId="77777777" w:rsidR="00C7772A" w:rsidRPr="00DA042F" w:rsidRDefault="00C7772A" w:rsidP="00DA042F">
      <w:pPr>
        <w:pStyle w:val="Title"/>
        <w:rPr>
          <w:rFonts w:ascii="Arial" w:hAnsi="Arial" w:cs="Arial"/>
          <w:b/>
          <w:bCs/>
          <w:sz w:val="22"/>
          <w:szCs w:val="22"/>
        </w:rPr>
      </w:pPr>
      <w:r w:rsidRPr="00DA042F">
        <w:rPr>
          <w:rFonts w:ascii="Arial" w:hAnsi="Arial" w:cs="Arial"/>
          <w:b/>
          <w:bCs/>
          <w:sz w:val="22"/>
          <w:szCs w:val="22"/>
        </w:rPr>
        <w:t>Auditor’s responsibilities for the audit of the financial statements</w:t>
      </w:r>
    </w:p>
    <w:p w14:paraId="1E35BD3C" w14:textId="77777777" w:rsidR="00C7772A" w:rsidRPr="008944FD" w:rsidRDefault="00C7772A" w:rsidP="00C7772A">
      <w:pPr>
        <w:spacing w:before="120" w:after="240"/>
        <w:rPr>
          <w:rFonts w:cs="Arial"/>
          <w:sz w:val="22"/>
          <w:szCs w:val="22"/>
        </w:rPr>
      </w:pPr>
      <w:r w:rsidRPr="008944FD">
        <w:rPr>
          <w:rFonts w:cs="Arial"/>
          <w:sz w:val="22"/>
          <w:szCs w:val="22"/>
        </w:rPr>
        <w:t xml:space="preserve">My objectives are to obtain reasonable assurance about whether the financial statements </w:t>
      </w:r>
      <w:proofErr w:type="gramStart"/>
      <w:r w:rsidRPr="008944FD">
        <w:rPr>
          <w:rFonts w:cs="Arial"/>
          <w:sz w:val="22"/>
          <w:szCs w:val="22"/>
        </w:rPr>
        <w:t>as a whole are</w:t>
      </w:r>
      <w:proofErr w:type="gramEnd"/>
      <w:r w:rsidRPr="008944FD">
        <w:rPr>
          <w:rFonts w:cs="Arial"/>
          <w:sz w:val="22"/>
          <w:szCs w:val="22"/>
        </w:rPr>
        <w:t xml:space="preserve"> free from material misstatement, whether due to fraud or error, and to issue an auditor’s report that includes my opinion. Reasonable assurance is a high level of </w:t>
      </w:r>
      <w:proofErr w:type="gramStart"/>
      <w:r w:rsidRPr="008944FD">
        <w:rPr>
          <w:rFonts w:cs="Arial"/>
          <w:sz w:val="22"/>
          <w:szCs w:val="22"/>
        </w:rPr>
        <w:t>assurance, but</w:t>
      </w:r>
      <w:proofErr w:type="gramEnd"/>
      <w:r w:rsidRPr="008944FD">
        <w:rPr>
          <w:rFonts w:cs="Arial"/>
          <w:sz w:val="22"/>
          <w:szCs w:val="22"/>
        </w:rPr>
        <w:t xml:space="preserve"> is not a guarantee that an audit conducted in accordance with ISAs (UK) will always detect a material misstatement when it exists. Misstatements can arise from fraud or error and are considered material if, individually or in the aggregate, they could reasonably be expected to influence the economic decisions of users taken </w:t>
      </w:r>
      <w:proofErr w:type="gramStart"/>
      <w:r w:rsidRPr="008944FD">
        <w:rPr>
          <w:rFonts w:cs="Arial"/>
          <w:sz w:val="22"/>
          <w:szCs w:val="22"/>
        </w:rPr>
        <w:t>on the basis of</w:t>
      </w:r>
      <w:proofErr w:type="gramEnd"/>
      <w:r w:rsidRPr="008944FD">
        <w:rPr>
          <w:rFonts w:cs="Arial"/>
          <w:sz w:val="22"/>
          <w:szCs w:val="22"/>
        </w:rPr>
        <w:t xml:space="preserve"> these financial statements.</w:t>
      </w:r>
    </w:p>
    <w:p w14:paraId="0EA956C1" w14:textId="77777777" w:rsidR="00C7772A" w:rsidRPr="008944FD" w:rsidRDefault="00C7772A" w:rsidP="00C7772A">
      <w:pPr>
        <w:spacing w:before="120" w:after="240"/>
        <w:rPr>
          <w:rFonts w:cs="Arial"/>
          <w:sz w:val="22"/>
          <w:szCs w:val="22"/>
        </w:rPr>
      </w:pPr>
      <w:r w:rsidRPr="008944FD">
        <w:rPr>
          <w:rFonts w:cs="Arial"/>
          <w:sz w:val="22"/>
          <w:szCs w:val="22"/>
        </w:rPr>
        <w:t>Irregularities, including fraud, are instances of non-compliance with laws and regulations. I design procedures in line with my responsibilities outlined above to detect material misstatements in respect of irregularities, including fraud. Procedures include:</w:t>
      </w:r>
    </w:p>
    <w:p w14:paraId="1171E72F" w14:textId="34793A65" w:rsidR="00C7772A" w:rsidRDefault="00C7772A" w:rsidP="0074048C">
      <w:pPr>
        <w:pStyle w:val="AS-P08-Bullet1"/>
        <w:numPr>
          <w:ilvl w:val="0"/>
          <w:numId w:val="22"/>
        </w:numPr>
        <w:tabs>
          <w:tab w:val="left" w:pos="284"/>
          <w:tab w:val="left" w:pos="851"/>
        </w:tabs>
        <w:suppressAutoHyphens w:val="0"/>
        <w:autoSpaceDN/>
        <w:spacing w:after="0"/>
        <w:ind w:left="0" w:firstLine="0"/>
        <w:rPr>
          <w:rFonts w:cs="Arial"/>
          <w:color w:val="auto"/>
          <w:sz w:val="22"/>
          <w:szCs w:val="22"/>
        </w:rPr>
      </w:pPr>
      <w:r w:rsidRPr="008944FD">
        <w:rPr>
          <w:rFonts w:cs="Arial"/>
          <w:color w:val="auto"/>
          <w:sz w:val="22"/>
          <w:szCs w:val="22"/>
        </w:rPr>
        <w:t xml:space="preserve">obtaining an understanding of the applicable legal and regulatory framework and how the Lanarkshire Valuation Joint Board is complying with that </w:t>
      </w:r>
      <w:proofErr w:type="gramStart"/>
      <w:r w:rsidRPr="008944FD">
        <w:rPr>
          <w:rFonts w:cs="Arial"/>
          <w:color w:val="auto"/>
          <w:sz w:val="22"/>
          <w:szCs w:val="22"/>
        </w:rPr>
        <w:t>framework;</w:t>
      </w:r>
      <w:proofErr w:type="gramEnd"/>
    </w:p>
    <w:p w14:paraId="29C1F522" w14:textId="77777777" w:rsidR="0074048C" w:rsidRPr="008944FD" w:rsidRDefault="0074048C" w:rsidP="0074048C">
      <w:pPr>
        <w:pStyle w:val="AS-P08-Bullet1"/>
        <w:numPr>
          <w:ilvl w:val="0"/>
          <w:numId w:val="0"/>
        </w:numPr>
        <w:tabs>
          <w:tab w:val="left" w:pos="284"/>
          <w:tab w:val="left" w:pos="851"/>
        </w:tabs>
        <w:suppressAutoHyphens w:val="0"/>
        <w:autoSpaceDN/>
        <w:spacing w:after="0"/>
        <w:rPr>
          <w:rFonts w:cs="Arial"/>
          <w:color w:val="auto"/>
          <w:sz w:val="22"/>
          <w:szCs w:val="22"/>
        </w:rPr>
      </w:pPr>
    </w:p>
    <w:p w14:paraId="59BEAAF9" w14:textId="10E5D4EC" w:rsidR="00C7772A" w:rsidRDefault="00C7772A" w:rsidP="0074048C">
      <w:pPr>
        <w:pStyle w:val="AS-P08-Bullet1"/>
        <w:numPr>
          <w:ilvl w:val="0"/>
          <w:numId w:val="22"/>
        </w:numPr>
        <w:tabs>
          <w:tab w:val="left" w:pos="284"/>
          <w:tab w:val="left" w:pos="851"/>
        </w:tabs>
        <w:suppressAutoHyphens w:val="0"/>
        <w:autoSpaceDN/>
        <w:spacing w:after="0"/>
        <w:ind w:left="0" w:firstLine="0"/>
        <w:rPr>
          <w:rFonts w:cs="Arial"/>
          <w:color w:val="auto"/>
          <w:sz w:val="22"/>
          <w:szCs w:val="22"/>
        </w:rPr>
      </w:pPr>
      <w:r w:rsidRPr="008944FD">
        <w:rPr>
          <w:rFonts w:cs="Arial"/>
          <w:color w:val="auto"/>
          <w:sz w:val="22"/>
          <w:szCs w:val="22"/>
        </w:rPr>
        <w:t xml:space="preserve">identifying which laws and regulations are significant in the context of the Lanarkshire Valuation Joint </w:t>
      </w:r>
      <w:proofErr w:type="gramStart"/>
      <w:r w:rsidRPr="008944FD">
        <w:rPr>
          <w:rFonts w:cs="Arial"/>
          <w:color w:val="auto"/>
          <w:sz w:val="22"/>
          <w:szCs w:val="22"/>
        </w:rPr>
        <w:t>Board;</w:t>
      </w:r>
      <w:proofErr w:type="gramEnd"/>
    </w:p>
    <w:p w14:paraId="3E5B8F85" w14:textId="77777777" w:rsidR="0074048C" w:rsidRDefault="0074048C" w:rsidP="0074048C">
      <w:pPr>
        <w:pStyle w:val="ListParagraph"/>
        <w:rPr>
          <w:rFonts w:cs="Arial"/>
          <w:sz w:val="22"/>
          <w:szCs w:val="22"/>
        </w:rPr>
      </w:pPr>
    </w:p>
    <w:p w14:paraId="02B1F571" w14:textId="599DB1A3" w:rsidR="00C7772A" w:rsidRDefault="00C7772A" w:rsidP="0074048C">
      <w:pPr>
        <w:pStyle w:val="AS-P08-Bullet1"/>
        <w:numPr>
          <w:ilvl w:val="0"/>
          <w:numId w:val="22"/>
        </w:numPr>
        <w:tabs>
          <w:tab w:val="left" w:pos="284"/>
          <w:tab w:val="left" w:pos="851"/>
        </w:tabs>
        <w:suppressAutoHyphens w:val="0"/>
        <w:autoSpaceDN/>
        <w:spacing w:after="0"/>
        <w:ind w:left="0" w:firstLine="0"/>
        <w:rPr>
          <w:rFonts w:cs="Arial"/>
          <w:color w:val="auto"/>
          <w:sz w:val="22"/>
          <w:szCs w:val="22"/>
        </w:rPr>
      </w:pPr>
      <w:r w:rsidRPr="008944FD">
        <w:rPr>
          <w:rFonts w:cs="Arial"/>
          <w:color w:val="auto"/>
          <w:sz w:val="22"/>
          <w:szCs w:val="22"/>
        </w:rPr>
        <w:t>assessing the susceptibility of the financial statements to material misstatement, including how fraud might occur; and</w:t>
      </w:r>
    </w:p>
    <w:p w14:paraId="5BC27F2A" w14:textId="77777777" w:rsidR="0074048C" w:rsidRDefault="0074048C" w:rsidP="0074048C">
      <w:pPr>
        <w:pStyle w:val="ListParagraph"/>
        <w:rPr>
          <w:rFonts w:cs="Arial"/>
          <w:sz w:val="22"/>
          <w:szCs w:val="22"/>
        </w:rPr>
      </w:pPr>
    </w:p>
    <w:p w14:paraId="0021A182" w14:textId="77777777" w:rsidR="00C7772A" w:rsidRPr="008944FD" w:rsidRDefault="00C7772A" w:rsidP="0074048C">
      <w:pPr>
        <w:pStyle w:val="AS-P08-Bullet1"/>
        <w:numPr>
          <w:ilvl w:val="0"/>
          <w:numId w:val="22"/>
        </w:numPr>
        <w:tabs>
          <w:tab w:val="left" w:pos="284"/>
          <w:tab w:val="left" w:pos="851"/>
        </w:tabs>
        <w:suppressAutoHyphens w:val="0"/>
        <w:autoSpaceDN/>
        <w:spacing w:after="0"/>
        <w:ind w:left="0" w:firstLine="0"/>
        <w:rPr>
          <w:rFonts w:cs="Arial"/>
          <w:color w:val="auto"/>
          <w:sz w:val="22"/>
          <w:szCs w:val="22"/>
        </w:rPr>
      </w:pPr>
      <w:r w:rsidRPr="008944FD">
        <w:rPr>
          <w:rFonts w:cs="Arial"/>
          <w:color w:val="auto"/>
          <w:sz w:val="22"/>
          <w:szCs w:val="22"/>
        </w:rPr>
        <w:t>considering whether the audit team collectively has the appropriate competence and capabilities to identify or recognise non-compliance with laws and regulations.</w:t>
      </w:r>
    </w:p>
    <w:p w14:paraId="253DA736" w14:textId="77777777" w:rsidR="00C7772A" w:rsidRPr="008944FD" w:rsidRDefault="00C7772A" w:rsidP="00C7772A">
      <w:pPr>
        <w:spacing w:before="120" w:after="240"/>
        <w:rPr>
          <w:rFonts w:cs="Arial"/>
          <w:sz w:val="22"/>
          <w:szCs w:val="22"/>
        </w:rPr>
      </w:pPr>
      <w:r w:rsidRPr="008944FD">
        <w:rPr>
          <w:rFonts w:cs="Arial"/>
          <w:sz w:val="22"/>
          <w:szCs w:val="22"/>
        </w:rPr>
        <w:t xml:space="preserve">The extent to which my procedures </w:t>
      </w:r>
      <w:proofErr w:type="gramStart"/>
      <w:r w:rsidRPr="008944FD">
        <w:rPr>
          <w:rFonts w:cs="Arial"/>
          <w:sz w:val="22"/>
          <w:szCs w:val="22"/>
        </w:rPr>
        <w:t>are capable of detecting</w:t>
      </w:r>
      <w:proofErr w:type="gramEnd"/>
      <w:r w:rsidRPr="008944FD">
        <w:rPr>
          <w:rFonts w:cs="Arial"/>
          <w:sz w:val="22"/>
          <w:szCs w:val="22"/>
        </w:rPr>
        <w:t xml:space="preserve"> irregularities, including fraud, is affected by the inherent difficulty in detecting irregularities, the effectiveness of the </w:t>
      </w:r>
      <w:r w:rsidRPr="008944FD">
        <w:rPr>
          <w:rFonts w:cs="Arial"/>
          <w:sz w:val="22"/>
          <w:szCs w:val="22"/>
        </w:rPr>
        <w:lastRenderedPageBreak/>
        <w:t>Lanarkshire Valuation Joint Board’s controls, and the nature, timing and extent of the audit procedures performed.</w:t>
      </w:r>
    </w:p>
    <w:p w14:paraId="494488D2" w14:textId="77777777" w:rsidR="00C7772A" w:rsidRPr="008944FD" w:rsidRDefault="00C7772A" w:rsidP="00C7772A">
      <w:pPr>
        <w:spacing w:before="120" w:after="240"/>
        <w:rPr>
          <w:rFonts w:cs="Arial"/>
          <w:sz w:val="22"/>
          <w:szCs w:val="22"/>
        </w:rPr>
      </w:pPr>
      <w:r w:rsidRPr="008944FD">
        <w:rPr>
          <w:rFonts w:cs="Arial"/>
          <w:sz w:val="22"/>
          <w:szCs w:val="22"/>
        </w:rPr>
        <w:t>Irregularities that result from fraud are inherently more difficult to detect than irregularities that result from error as fraud may involve collusion, intentional omissions, misrepresentations, or the override of internal control. The capability of the audit to detect fraud and other irregularities depends on factors such as the skilfulness of the perpetrator, the frequency and extent of manipulation, the degree of collusion involved, the relative size of individual amounts manipulated, and the seniority of those individuals involved.</w:t>
      </w:r>
    </w:p>
    <w:p w14:paraId="6541B16F" w14:textId="77777777" w:rsidR="00C7772A" w:rsidRPr="008944FD" w:rsidRDefault="00C7772A" w:rsidP="00C7772A">
      <w:pPr>
        <w:spacing w:before="120" w:after="240"/>
        <w:rPr>
          <w:rFonts w:cs="Arial"/>
          <w:sz w:val="22"/>
          <w:szCs w:val="22"/>
        </w:rPr>
      </w:pPr>
      <w:r w:rsidRPr="008944FD">
        <w:rPr>
          <w:rFonts w:cs="Arial"/>
          <w:sz w:val="22"/>
          <w:szCs w:val="22"/>
        </w:rPr>
        <w:t xml:space="preserve">A further description of the auditor’s responsibilities for the audit of the financial statements is located on the Financial Reporting Council's website </w:t>
      </w:r>
      <w:hyperlink r:id="rId16" w:history="1">
        <w:r w:rsidRPr="008944FD">
          <w:rPr>
            <w:rStyle w:val="Hyperlink"/>
            <w:rFonts w:cs="Arial"/>
            <w:color w:val="auto"/>
            <w:sz w:val="22"/>
            <w:szCs w:val="22"/>
          </w:rPr>
          <w:t>www.frc.org.uk/auditorsresponsibilities</w:t>
        </w:r>
      </w:hyperlink>
      <w:r w:rsidRPr="008944FD">
        <w:rPr>
          <w:rFonts w:cs="Arial"/>
          <w:sz w:val="22"/>
          <w:szCs w:val="22"/>
        </w:rPr>
        <w:t>. This description forms part of my auditor’s report.</w:t>
      </w:r>
    </w:p>
    <w:p w14:paraId="2440E4AA" w14:textId="166E8137" w:rsidR="00C7772A" w:rsidRDefault="00C7772A" w:rsidP="00DA042F">
      <w:pPr>
        <w:pStyle w:val="Title"/>
        <w:rPr>
          <w:rFonts w:ascii="Arial" w:hAnsi="Arial" w:cs="Arial"/>
          <w:b/>
          <w:bCs/>
          <w:sz w:val="22"/>
          <w:szCs w:val="22"/>
        </w:rPr>
      </w:pPr>
      <w:r w:rsidRPr="00DA042F">
        <w:rPr>
          <w:rFonts w:ascii="Arial" w:hAnsi="Arial" w:cs="Arial"/>
          <w:b/>
          <w:bCs/>
          <w:sz w:val="22"/>
          <w:szCs w:val="22"/>
        </w:rPr>
        <w:t>Reporting on other requirements</w:t>
      </w:r>
    </w:p>
    <w:p w14:paraId="285FE084" w14:textId="77777777" w:rsidR="00DA042F" w:rsidRPr="00DA042F" w:rsidRDefault="00DA042F" w:rsidP="00DA042F"/>
    <w:p w14:paraId="68911277" w14:textId="77777777" w:rsidR="00C7772A" w:rsidRPr="00DA042F" w:rsidRDefault="00C7772A" w:rsidP="00DA042F">
      <w:pPr>
        <w:pStyle w:val="Title"/>
        <w:rPr>
          <w:rFonts w:ascii="Arial" w:hAnsi="Arial" w:cs="Arial"/>
          <w:b/>
          <w:bCs/>
          <w:sz w:val="22"/>
          <w:szCs w:val="22"/>
        </w:rPr>
      </w:pPr>
      <w:r w:rsidRPr="00DA042F">
        <w:rPr>
          <w:rFonts w:ascii="Arial" w:hAnsi="Arial" w:cs="Arial"/>
          <w:b/>
          <w:bCs/>
          <w:sz w:val="22"/>
          <w:szCs w:val="22"/>
        </w:rPr>
        <w:t>Opinion prescribed by the Accounts Commission on the audited part of the Remuneration Report</w:t>
      </w:r>
    </w:p>
    <w:p w14:paraId="207E4EBA" w14:textId="77777777" w:rsidR="00C7772A" w:rsidRPr="008944FD" w:rsidRDefault="00C7772A" w:rsidP="00C7772A">
      <w:pPr>
        <w:spacing w:before="120" w:after="240"/>
        <w:rPr>
          <w:rFonts w:cs="Arial"/>
          <w:sz w:val="22"/>
          <w:szCs w:val="22"/>
        </w:rPr>
      </w:pPr>
      <w:r w:rsidRPr="008944FD">
        <w:rPr>
          <w:rFonts w:cs="Arial"/>
          <w:sz w:val="22"/>
          <w:szCs w:val="22"/>
        </w:rPr>
        <w:t xml:space="preserve">I have audited the part of the Remuneration Report described as audited. </w:t>
      </w:r>
      <w:bookmarkStart w:id="8" w:name="_Int_1ilKwDxA"/>
      <w:r w:rsidRPr="008944FD">
        <w:rPr>
          <w:rFonts w:cs="Arial"/>
          <w:sz w:val="22"/>
          <w:szCs w:val="22"/>
        </w:rPr>
        <w:t>In my opinion, the</w:t>
      </w:r>
      <w:bookmarkEnd w:id="8"/>
      <w:r w:rsidRPr="008944FD">
        <w:rPr>
          <w:rFonts w:cs="Arial"/>
          <w:sz w:val="22"/>
          <w:szCs w:val="22"/>
        </w:rPr>
        <w:t xml:space="preserve"> audited part of the Remuneration Report has been properly prepared in accordance with The Local Authority Accounts (Scotland) Regulations 2014.</w:t>
      </w:r>
    </w:p>
    <w:p w14:paraId="289EF3D6" w14:textId="77777777" w:rsidR="00C7772A" w:rsidRPr="00DA042F" w:rsidRDefault="00C7772A" w:rsidP="00DA042F">
      <w:pPr>
        <w:pStyle w:val="Title"/>
        <w:rPr>
          <w:rFonts w:ascii="Arial" w:hAnsi="Arial" w:cs="Arial"/>
          <w:b/>
          <w:bCs/>
          <w:sz w:val="22"/>
          <w:szCs w:val="22"/>
        </w:rPr>
      </w:pPr>
      <w:r w:rsidRPr="00DA042F">
        <w:rPr>
          <w:rFonts w:ascii="Arial" w:hAnsi="Arial" w:cs="Arial"/>
          <w:b/>
          <w:bCs/>
          <w:sz w:val="22"/>
          <w:szCs w:val="22"/>
        </w:rPr>
        <w:t xml:space="preserve">Other information </w:t>
      </w:r>
    </w:p>
    <w:p w14:paraId="74FD3068" w14:textId="77777777" w:rsidR="00C7772A" w:rsidRPr="008944FD" w:rsidRDefault="00C7772A" w:rsidP="00C7772A">
      <w:pPr>
        <w:spacing w:before="120" w:after="240"/>
        <w:rPr>
          <w:rFonts w:cs="Arial"/>
          <w:sz w:val="22"/>
          <w:szCs w:val="22"/>
        </w:rPr>
      </w:pPr>
      <w:r w:rsidRPr="008944FD">
        <w:rPr>
          <w:rFonts w:cs="Arial"/>
          <w:sz w:val="22"/>
          <w:szCs w:val="22"/>
        </w:rPr>
        <w:t xml:space="preserve">The Treasurer is responsible for the statutory other information in the annual accounts. The other information comprises the Management Commentary, Annual Governance Statement, Statement of </w:t>
      </w:r>
      <w:bookmarkStart w:id="9" w:name="_Int_5DQBT6IY"/>
      <w:proofErr w:type="gramStart"/>
      <w:r w:rsidRPr="008944FD">
        <w:rPr>
          <w:rFonts w:cs="Arial"/>
          <w:sz w:val="22"/>
          <w:szCs w:val="22"/>
        </w:rPr>
        <w:t>Responsibilities</w:t>
      </w:r>
      <w:bookmarkEnd w:id="9"/>
      <w:proofErr w:type="gramEnd"/>
      <w:r w:rsidRPr="008944FD">
        <w:rPr>
          <w:rFonts w:cs="Arial"/>
          <w:sz w:val="22"/>
          <w:szCs w:val="22"/>
        </w:rPr>
        <w:t xml:space="preserve"> and the unaudited part of the Remuneration Report. </w:t>
      </w:r>
    </w:p>
    <w:p w14:paraId="3036F38D" w14:textId="77777777" w:rsidR="00C7772A" w:rsidRPr="008944FD" w:rsidRDefault="00C7772A" w:rsidP="00C7772A">
      <w:pPr>
        <w:pStyle w:val="AS-P06-Bodytext"/>
        <w:rPr>
          <w:rFonts w:cs="Arial"/>
          <w:color w:val="auto"/>
          <w:sz w:val="22"/>
          <w:szCs w:val="22"/>
        </w:rPr>
      </w:pPr>
      <w:r w:rsidRPr="008944FD">
        <w:rPr>
          <w:rStyle w:val="04-Normalcharacter"/>
          <w:rFonts w:cs="Arial"/>
          <w:color w:val="auto"/>
          <w:sz w:val="22"/>
          <w:szCs w:val="22"/>
        </w:rPr>
        <w:t xml:space="preserve">My responsibility is to read all the other information and, </w:t>
      </w:r>
      <w:r w:rsidRPr="008944FD">
        <w:rPr>
          <w:rFonts w:cs="Arial"/>
          <w:color w:val="auto"/>
          <w:sz w:val="22"/>
          <w:szCs w:val="22"/>
        </w:rPr>
        <w:t xml:space="preserve">in doing so, consider whether the other information is materially inconsistent with the financial </w:t>
      </w:r>
      <w:proofErr w:type="gramStart"/>
      <w:r w:rsidRPr="008944FD">
        <w:rPr>
          <w:rFonts w:cs="Arial"/>
          <w:color w:val="auto"/>
          <w:sz w:val="22"/>
          <w:szCs w:val="22"/>
        </w:rPr>
        <w:t>statements</w:t>
      </w:r>
      <w:proofErr w:type="gramEnd"/>
      <w:r w:rsidRPr="008944FD">
        <w:rPr>
          <w:rFonts w:cs="Arial"/>
          <w:color w:val="auto"/>
          <w:sz w:val="22"/>
          <w:szCs w:val="22"/>
        </w:rPr>
        <w:t xml:space="preserve"> or my knowledge obtained in the course of the audit or otherwise appears to be materially misstated. If I identify such material inconsistencies or apparent material misstatements, I am required to determine whether this gives rise to a material misstatement in the financial statements themselves. If, based on the work I have performed, I conclude that there is a material misstatement of this other information, I am required to report that fact. I have nothing to report in this regard.</w:t>
      </w:r>
    </w:p>
    <w:p w14:paraId="472A461C" w14:textId="77777777" w:rsidR="00C7772A" w:rsidRPr="008944FD" w:rsidRDefault="00C7772A" w:rsidP="00C7772A">
      <w:pPr>
        <w:pStyle w:val="AS-P06-Bodytext"/>
        <w:rPr>
          <w:rFonts w:cs="Arial"/>
          <w:color w:val="auto"/>
          <w:sz w:val="22"/>
          <w:szCs w:val="22"/>
        </w:rPr>
      </w:pPr>
      <w:r w:rsidRPr="008944FD">
        <w:rPr>
          <w:rFonts w:cs="Arial"/>
          <w:color w:val="auto"/>
          <w:sz w:val="22"/>
          <w:szCs w:val="22"/>
        </w:rPr>
        <w:t>My opinion on the financial statements does not cover the other information and I do not express any form of assurance conclusion thereon except on the Management Commentary and Annual Governance Statement to the extent explicitly stated in the following opinions prescribed by the Accounts Commission.</w:t>
      </w:r>
    </w:p>
    <w:p w14:paraId="3BD06A80" w14:textId="77777777" w:rsidR="00C7772A" w:rsidRPr="00DA042F" w:rsidRDefault="00C7772A" w:rsidP="00DA042F">
      <w:pPr>
        <w:pStyle w:val="Title"/>
        <w:rPr>
          <w:rFonts w:ascii="Arial" w:hAnsi="Arial" w:cs="Arial"/>
          <w:b/>
          <w:bCs/>
          <w:sz w:val="22"/>
          <w:szCs w:val="22"/>
        </w:rPr>
      </w:pPr>
      <w:r w:rsidRPr="00DA042F">
        <w:rPr>
          <w:rFonts w:ascii="Arial" w:hAnsi="Arial" w:cs="Arial"/>
          <w:b/>
          <w:bCs/>
          <w:sz w:val="22"/>
          <w:szCs w:val="22"/>
        </w:rPr>
        <w:t>Opinions prescribed by the Accounts Commission on Management Commentary and Annual Governance Statement</w:t>
      </w:r>
    </w:p>
    <w:p w14:paraId="45929188" w14:textId="77777777" w:rsidR="00C7772A" w:rsidRPr="008944FD" w:rsidRDefault="00C7772A" w:rsidP="00C7772A">
      <w:pPr>
        <w:spacing w:before="120" w:after="240"/>
        <w:rPr>
          <w:rFonts w:cs="Arial"/>
          <w:sz w:val="22"/>
          <w:szCs w:val="22"/>
        </w:rPr>
      </w:pPr>
      <w:bookmarkStart w:id="10" w:name="_Int_w9mCHmvq"/>
      <w:r w:rsidRPr="008944FD">
        <w:rPr>
          <w:rFonts w:cs="Arial"/>
          <w:sz w:val="22"/>
          <w:szCs w:val="22"/>
        </w:rPr>
        <w:t>In my opinion, based</w:t>
      </w:r>
      <w:bookmarkEnd w:id="10"/>
      <w:r w:rsidRPr="008944FD">
        <w:rPr>
          <w:rFonts w:cs="Arial"/>
          <w:sz w:val="22"/>
          <w:szCs w:val="22"/>
        </w:rPr>
        <w:t xml:space="preserve"> on the work undertaken </w:t>
      </w:r>
      <w:proofErr w:type="gramStart"/>
      <w:r w:rsidRPr="008944FD">
        <w:rPr>
          <w:rFonts w:cs="Arial"/>
          <w:sz w:val="22"/>
          <w:szCs w:val="22"/>
        </w:rPr>
        <w:t>in the course of</w:t>
      </w:r>
      <w:proofErr w:type="gramEnd"/>
      <w:r w:rsidRPr="008944FD">
        <w:rPr>
          <w:rFonts w:cs="Arial"/>
          <w:sz w:val="22"/>
          <w:szCs w:val="22"/>
        </w:rPr>
        <w:t xml:space="preserve"> the audit:</w:t>
      </w:r>
    </w:p>
    <w:p w14:paraId="22E5F0DD" w14:textId="59792944" w:rsidR="00C7772A" w:rsidRDefault="00C7772A" w:rsidP="008E3764">
      <w:pPr>
        <w:pStyle w:val="AS-P08-Bullet1"/>
        <w:numPr>
          <w:ilvl w:val="0"/>
          <w:numId w:val="28"/>
        </w:numPr>
        <w:tabs>
          <w:tab w:val="left" w:pos="284"/>
          <w:tab w:val="left" w:pos="851"/>
        </w:tabs>
        <w:suppressAutoHyphens w:val="0"/>
        <w:autoSpaceDN/>
        <w:spacing w:after="0"/>
        <w:ind w:left="0" w:firstLine="0"/>
        <w:rPr>
          <w:rFonts w:cs="Arial"/>
          <w:color w:val="auto"/>
          <w:sz w:val="22"/>
          <w:szCs w:val="22"/>
        </w:rPr>
      </w:pPr>
      <w:r w:rsidRPr="008E3764">
        <w:rPr>
          <w:rFonts w:cs="Arial"/>
          <w:color w:val="auto"/>
          <w:sz w:val="22"/>
          <w:szCs w:val="22"/>
        </w:rPr>
        <w:t>the information given in the Management Commentary for the financial year for which the financial statements are prepared is consistent with the financial statements and that report has been prepared in accordance with statutory guidance issued under the Local Government in Scotland Act 2003; and</w:t>
      </w:r>
    </w:p>
    <w:p w14:paraId="52B85294" w14:textId="77777777" w:rsidR="008E3764" w:rsidRDefault="008E3764" w:rsidP="00DA042F">
      <w:pPr>
        <w:pStyle w:val="AS-P08-Bullet1"/>
        <w:numPr>
          <w:ilvl w:val="0"/>
          <w:numId w:val="0"/>
        </w:numPr>
        <w:tabs>
          <w:tab w:val="left" w:pos="284"/>
          <w:tab w:val="left" w:pos="851"/>
        </w:tabs>
        <w:suppressAutoHyphens w:val="0"/>
        <w:autoSpaceDN/>
        <w:spacing w:after="0"/>
        <w:rPr>
          <w:rFonts w:cs="Arial"/>
          <w:color w:val="auto"/>
          <w:sz w:val="22"/>
          <w:szCs w:val="22"/>
        </w:rPr>
      </w:pPr>
    </w:p>
    <w:p w14:paraId="6A561BAF" w14:textId="3B5AB7A3" w:rsidR="00C7772A" w:rsidRDefault="00C7772A" w:rsidP="008E3764">
      <w:pPr>
        <w:pStyle w:val="AS-P08-Bullet1"/>
        <w:numPr>
          <w:ilvl w:val="0"/>
          <w:numId w:val="28"/>
        </w:numPr>
        <w:tabs>
          <w:tab w:val="left" w:pos="284"/>
          <w:tab w:val="left" w:pos="851"/>
        </w:tabs>
        <w:suppressAutoHyphens w:val="0"/>
        <w:autoSpaceDN/>
        <w:spacing w:after="0"/>
        <w:ind w:left="0" w:firstLine="0"/>
        <w:rPr>
          <w:rFonts w:cs="Arial"/>
          <w:color w:val="auto"/>
          <w:sz w:val="22"/>
          <w:szCs w:val="22"/>
        </w:rPr>
      </w:pPr>
      <w:r w:rsidRPr="008E3764">
        <w:rPr>
          <w:rFonts w:cs="Arial"/>
          <w:color w:val="auto"/>
          <w:sz w:val="22"/>
          <w:szCs w:val="22"/>
        </w:rPr>
        <w:lastRenderedPageBreak/>
        <w:t>the information given in the Annual Governance Statement for the financial year for which the financial statements are prepared is consistent with the financial statements and that report has been prepared in accordance with the Delivering Good Governance in Local Government: Framework (2016).</w:t>
      </w:r>
    </w:p>
    <w:p w14:paraId="1967A811" w14:textId="77777777" w:rsidR="00DA042F" w:rsidRDefault="00DA042F" w:rsidP="00DA042F">
      <w:pPr>
        <w:pStyle w:val="ListParagraph"/>
        <w:rPr>
          <w:rFonts w:cs="Arial"/>
          <w:sz w:val="22"/>
          <w:szCs w:val="22"/>
        </w:rPr>
      </w:pPr>
    </w:p>
    <w:p w14:paraId="0470FAC5" w14:textId="77777777" w:rsidR="00C7772A" w:rsidRPr="00DA042F" w:rsidRDefault="00C7772A" w:rsidP="00DA042F">
      <w:pPr>
        <w:pStyle w:val="Title"/>
        <w:rPr>
          <w:rFonts w:ascii="Arial" w:hAnsi="Arial" w:cs="Arial"/>
          <w:b/>
          <w:bCs/>
          <w:sz w:val="22"/>
          <w:szCs w:val="22"/>
        </w:rPr>
      </w:pPr>
      <w:r w:rsidRPr="00DA042F">
        <w:rPr>
          <w:rFonts w:ascii="Arial" w:hAnsi="Arial" w:cs="Arial"/>
          <w:b/>
          <w:bCs/>
          <w:sz w:val="22"/>
          <w:szCs w:val="22"/>
        </w:rPr>
        <w:t>Matters on which I am required to report by exception</w:t>
      </w:r>
    </w:p>
    <w:p w14:paraId="7D510425" w14:textId="77777777" w:rsidR="00C7772A" w:rsidRPr="008944FD" w:rsidRDefault="00C7772A" w:rsidP="00C7772A">
      <w:pPr>
        <w:spacing w:before="120" w:after="240"/>
        <w:rPr>
          <w:rFonts w:cs="Arial"/>
          <w:sz w:val="22"/>
          <w:szCs w:val="22"/>
        </w:rPr>
      </w:pPr>
      <w:r w:rsidRPr="008944FD">
        <w:rPr>
          <w:rFonts w:cs="Arial"/>
          <w:sz w:val="22"/>
          <w:szCs w:val="22"/>
        </w:rPr>
        <w:t>I am required by the Accounts Commission to report to you if, in my opinion:</w:t>
      </w:r>
    </w:p>
    <w:p w14:paraId="28190291" w14:textId="4FE68E8A" w:rsidR="00C7772A" w:rsidRDefault="00C7772A" w:rsidP="008E3764">
      <w:pPr>
        <w:pStyle w:val="AS-P08-Bullet1"/>
        <w:numPr>
          <w:ilvl w:val="0"/>
          <w:numId w:val="29"/>
        </w:numPr>
        <w:tabs>
          <w:tab w:val="left" w:pos="284"/>
          <w:tab w:val="left" w:pos="851"/>
        </w:tabs>
        <w:suppressAutoHyphens w:val="0"/>
        <w:autoSpaceDN/>
        <w:spacing w:after="0"/>
        <w:ind w:left="0" w:firstLine="0"/>
        <w:rPr>
          <w:rFonts w:cs="Arial"/>
          <w:color w:val="auto"/>
          <w:sz w:val="22"/>
          <w:szCs w:val="22"/>
        </w:rPr>
      </w:pPr>
      <w:r w:rsidRPr="008E3764">
        <w:rPr>
          <w:rFonts w:cs="Arial"/>
          <w:color w:val="auto"/>
          <w:sz w:val="22"/>
          <w:szCs w:val="22"/>
        </w:rPr>
        <w:t>adequate accounting records have not been kept; or</w:t>
      </w:r>
    </w:p>
    <w:p w14:paraId="5AF7332D" w14:textId="77777777" w:rsidR="008E3764" w:rsidRPr="008E3764" w:rsidRDefault="008E3764" w:rsidP="008E3764">
      <w:pPr>
        <w:pStyle w:val="AS-P08-Bullet1"/>
        <w:numPr>
          <w:ilvl w:val="0"/>
          <w:numId w:val="0"/>
        </w:numPr>
        <w:tabs>
          <w:tab w:val="left" w:pos="284"/>
          <w:tab w:val="left" w:pos="851"/>
        </w:tabs>
        <w:suppressAutoHyphens w:val="0"/>
        <w:autoSpaceDN/>
        <w:spacing w:after="0"/>
        <w:rPr>
          <w:rFonts w:cs="Arial"/>
          <w:color w:val="auto"/>
          <w:sz w:val="22"/>
          <w:szCs w:val="22"/>
        </w:rPr>
      </w:pPr>
    </w:p>
    <w:p w14:paraId="628449B8" w14:textId="58732687" w:rsidR="00C7772A" w:rsidRDefault="00C7772A" w:rsidP="008E3764">
      <w:pPr>
        <w:pStyle w:val="AS-P08-Bullet1"/>
        <w:numPr>
          <w:ilvl w:val="0"/>
          <w:numId w:val="29"/>
        </w:numPr>
        <w:tabs>
          <w:tab w:val="left" w:pos="284"/>
          <w:tab w:val="left" w:pos="851"/>
        </w:tabs>
        <w:suppressAutoHyphens w:val="0"/>
        <w:autoSpaceDN/>
        <w:spacing w:after="0"/>
        <w:ind w:left="0" w:firstLine="0"/>
        <w:rPr>
          <w:rFonts w:cs="Arial"/>
          <w:color w:val="auto"/>
          <w:sz w:val="22"/>
          <w:szCs w:val="22"/>
        </w:rPr>
      </w:pPr>
      <w:r w:rsidRPr="008E3764">
        <w:rPr>
          <w:rFonts w:cs="Arial"/>
          <w:color w:val="auto"/>
          <w:sz w:val="22"/>
          <w:szCs w:val="22"/>
        </w:rPr>
        <w:t>the financial statements and the audited part of the Remuneration Report are not in agreement with the accounting records; or</w:t>
      </w:r>
    </w:p>
    <w:p w14:paraId="320302D9" w14:textId="77777777" w:rsidR="008E3764" w:rsidRDefault="008E3764" w:rsidP="008E3764">
      <w:pPr>
        <w:pStyle w:val="ListParagraph"/>
        <w:rPr>
          <w:rFonts w:cs="Arial"/>
          <w:sz w:val="22"/>
          <w:szCs w:val="22"/>
        </w:rPr>
      </w:pPr>
    </w:p>
    <w:p w14:paraId="080CF7E8" w14:textId="77777777" w:rsidR="00C7772A" w:rsidRPr="008E3764" w:rsidRDefault="00C7772A" w:rsidP="008E3764">
      <w:pPr>
        <w:pStyle w:val="AS-P08-Bullet1"/>
        <w:numPr>
          <w:ilvl w:val="0"/>
          <w:numId w:val="29"/>
        </w:numPr>
        <w:tabs>
          <w:tab w:val="left" w:pos="284"/>
          <w:tab w:val="left" w:pos="851"/>
        </w:tabs>
        <w:suppressAutoHyphens w:val="0"/>
        <w:autoSpaceDN/>
        <w:spacing w:after="0"/>
        <w:ind w:left="0" w:firstLine="0"/>
        <w:rPr>
          <w:rFonts w:cs="Arial"/>
          <w:color w:val="auto"/>
          <w:sz w:val="22"/>
          <w:szCs w:val="22"/>
        </w:rPr>
      </w:pPr>
      <w:r w:rsidRPr="008E3764">
        <w:rPr>
          <w:rFonts w:cs="Arial"/>
          <w:color w:val="auto"/>
          <w:sz w:val="22"/>
          <w:szCs w:val="22"/>
        </w:rPr>
        <w:t>I have not received all the information and explanations I require for my audit.</w:t>
      </w:r>
    </w:p>
    <w:p w14:paraId="748F2D82" w14:textId="77777777" w:rsidR="00C7772A" w:rsidRPr="008944FD" w:rsidRDefault="00C7772A" w:rsidP="00C7772A">
      <w:pPr>
        <w:spacing w:before="120" w:after="240"/>
        <w:rPr>
          <w:rFonts w:cs="Arial"/>
          <w:sz w:val="22"/>
          <w:szCs w:val="22"/>
        </w:rPr>
      </w:pPr>
      <w:r w:rsidRPr="008944FD">
        <w:rPr>
          <w:rFonts w:cs="Arial"/>
          <w:sz w:val="22"/>
          <w:szCs w:val="22"/>
        </w:rPr>
        <w:t>I have nothing to report in respect of these matters.</w:t>
      </w:r>
    </w:p>
    <w:p w14:paraId="33D1D734" w14:textId="77777777" w:rsidR="00C7772A" w:rsidRPr="00DA042F" w:rsidRDefault="00C7772A" w:rsidP="00DA042F">
      <w:pPr>
        <w:pStyle w:val="Title"/>
        <w:rPr>
          <w:rFonts w:ascii="Arial" w:hAnsi="Arial" w:cs="Arial"/>
          <w:b/>
          <w:bCs/>
          <w:sz w:val="22"/>
          <w:szCs w:val="22"/>
        </w:rPr>
      </w:pPr>
      <w:r w:rsidRPr="00DA042F">
        <w:rPr>
          <w:rFonts w:ascii="Arial" w:hAnsi="Arial" w:cs="Arial"/>
          <w:b/>
          <w:bCs/>
          <w:sz w:val="22"/>
          <w:szCs w:val="22"/>
        </w:rPr>
        <w:t>Conclusions on wider scope responsibilities</w:t>
      </w:r>
    </w:p>
    <w:p w14:paraId="1439ACDA" w14:textId="77777777" w:rsidR="00C7772A" w:rsidRPr="008944FD" w:rsidRDefault="00C7772A" w:rsidP="00C7772A">
      <w:pPr>
        <w:spacing w:before="120" w:after="240"/>
        <w:rPr>
          <w:rFonts w:cs="Arial"/>
          <w:sz w:val="22"/>
          <w:szCs w:val="22"/>
        </w:rPr>
      </w:pPr>
      <w:r w:rsidRPr="008944FD">
        <w:rPr>
          <w:rFonts w:cs="Arial"/>
          <w:sz w:val="22"/>
          <w:szCs w:val="22"/>
        </w:rPr>
        <w:t>In addition to my responsibilities for the annual accounts, my conclusions on the wider scope responsibilities specified in the Code of Audit Practice, including those in respect of Best Value, are set out in my Annual Audit Report.</w:t>
      </w:r>
    </w:p>
    <w:p w14:paraId="03A8DB33" w14:textId="77777777" w:rsidR="00C7772A" w:rsidRPr="00DA042F" w:rsidRDefault="00C7772A" w:rsidP="00DA042F">
      <w:pPr>
        <w:pStyle w:val="Title"/>
        <w:rPr>
          <w:rFonts w:ascii="Arial" w:hAnsi="Arial" w:cs="Arial"/>
          <w:b/>
          <w:bCs/>
          <w:sz w:val="22"/>
          <w:szCs w:val="22"/>
        </w:rPr>
      </w:pPr>
      <w:r w:rsidRPr="00DA042F">
        <w:rPr>
          <w:rFonts w:ascii="Arial" w:hAnsi="Arial" w:cs="Arial"/>
          <w:b/>
          <w:bCs/>
          <w:sz w:val="22"/>
          <w:szCs w:val="22"/>
        </w:rPr>
        <w:t>Use of my report</w:t>
      </w:r>
    </w:p>
    <w:p w14:paraId="7FEDE93F" w14:textId="77777777" w:rsidR="00C7772A" w:rsidRPr="008944FD" w:rsidRDefault="00C7772A" w:rsidP="00C7772A">
      <w:pPr>
        <w:spacing w:before="120" w:after="240"/>
        <w:rPr>
          <w:rFonts w:cs="Arial"/>
          <w:sz w:val="22"/>
          <w:szCs w:val="22"/>
        </w:rPr>
      </w:pPr>
      <w:r w:rsidRPr="008944FD">
        <w:rPr>
          <w:rFonts w:cs="Arial"/>
          <w:sz w:val="22"/>
          <w:szCs w:val="22"/>
        </w:rPr>
        <w:t>This report is made solely to the parties to whom it is addressed in accordance with Part VII of the Local Government (Scotland) Act 1973 and for no other purpose. In accordance with paragraph 120 of the Code of Audit Practice, I do not undertake to have responsibilities to members or officers, in their individual capacities, or to third parties.</w:t>
      </w:r>
    </w:p>
    <w:p w14:paraId="651A1F27" w14:textId="77777777" w:rsidR="00C7772A" w:rsidRPr="008944FD" w:rsidRDefault="00C7772A" w:rsidP="00C7772A">
      <w:pPr>
        <w:pStyle w:val="10-Bodynumbered"/>
        <w:rPr>
          <w:rFonts w:cs="Arial"/>
        </w:rPr>
      </w:pPr>
    </w:p>
    <w:p w14:paraId="362A1261" w14:textId="77777777" w:rsidR="00C7772A" w:rsidRPr="008944FD" w:rsidRDefault="00C7772A" w:rsidP="00C7772A">
      <w:pPr>
        <w:spacing w:before="120" w:after="240"/>
        <w:rPr>
          <w:rFonts w:cs="Arial"/>
          <w:sz w:val="22"/>
          <w:szCs w:val="22"/>
        </w:rPr>
      </w:pPr>
    </w:p>
    <w:p w14:paraId="070FECB5" w14:textId="77777777" w:rsidR="00C7772A" w:rsidRPr="008944FD" w:rsidRDefault="00C7772A" w:rsidP="00C7772A">
      <w:pPr>
        <w:spacing w:before="120" w:after="240"/>
        <w:rPr>
          <w:rFonts w:cs="Arial"/>
          <w:sz w:val="22"/>
          <w:szCs w:val="22"/>
        </w:rPr>
      </w:pPr>
    </w:p>
    <w:p w14:paraId="08F88A96" w14:textId="77777777" w:rsidR="00C7772A" w:rsidRPr="008944FD" w:rsidRDefault="00C7772A" w:rsidP="00C7772A">
      <w:pPr>
        <w:pStyle w:val="AS-S01Stationarybar"/>
        <w:rPr>
          <w:rFonts w:cs="Arial"/>
          <w:color w:val="auto"/>
          <w:sz w:val="22"/>
          <w:szCs w:val="22"/>
        </w:rPr>
      </w:pPr>
    </w:p>
    <w:p w14:paraId="41E96420" w14:textId="77777777" w:rsidR="00C7772A" w:rsidRPr="008944FD" w:rsidRDefault="00C7772A" w:rsidP="00C7772A">
      <w:pPr>
        <w:pStyle w:val="AS-S01Stationarybar"/>
        <w:rPr>
          <w:rFonts w:cs="Arial"/>
          <w:color w:val="auto"/>
          <w:sz w:val="22"/>
          <w:szCs w:val="22"/>
        </w:rPr>
      </w:pPr>
      <w:r w:rsidRPr="008944FD">
        <w:rPr>
          <w:rFonts w:cs="Arial"/>
          <w:color w:val="auto"/>
          <w:sz w:val="22"/>
          <w:szCs w:val="22"/>
        </w:rPr>
        <w:t>Andrew Kerr CA</w:t>
      </w:r>
    </w:p>
    <w:p w14:paraId="31B2EBFA" w14:textId="77777777" w:rsidR="00C7772A" w:rsidRPr="008944FD" w:rsidRDefault="00C7772A" w:rsidP="00C7772A">
      <w:pPr>
        <w:pStyle w:val="AS-S01Stationarybar"/>
        <w:rPr>
          <w:rFonts w:cs="Arial"/>
          <w:color w:val="auto"/>
          <w:sz w:val="22"/>
          <w:szCs w:val="22"/>
        </w:rPr>
      </w:pPr>
      <w:r w:rsidRPr="008944FD">
        <w:rPr>
          <w:rFonts w:cs="Arial"/>
          <w:color w:val="auto"/>
          <w:sz w:val="22"/>
          <w:szCs w:val="22"/>
        </w:rPr>
        <w:t>Senior Audit Manager</w:t>
      </w:r>
    </w:p>
    <w:p w14:paraId="3813B32F" w14:textId="77777777" w:rsidR="00C7772A" w:rsidRPr="008944FD" w:rsidRDefault="00C7772A" w:rsidP="00C7772A">
      <w:pPr>
        <w:pStyle w:val="AS-S01Stationarybar"/>
        <w:rPr>
          <w:rFonts w:cs="Arial"/>
          <w:color w:val="auto"/>
          <w:sz w:val="22"/>
          <w:szCs w:val="22"/>
        </w:rPr>
      </w:pPr>
      <w:r w:rsidRPr="008944FD">
        <w:rPr>
          <w:rFonts w:cs="Arial"/>
          <w:color w:val="auto"/>
          <w:sz w:val="22"/>
          <w:szCs w:val="22"/>
        </w:rPr>
        <w:t>Audit Scotland</w:t>
      </w:r>
    </w:p>
    <w:p w14:paraId="66CDD1FC" w14:textId="77777777" w:rsidR="00C7772A" w:rsidRPr="008944FD" w:rsidRDefault="00C7772A" w:rsidP="00C7772A">
      <w:pPr>
        <w:pStyle w:val="AS-S01Stationarybar"/>
        <w:rPr>
          <w:rFonts w:cs="Arial"/>
          <w:color w:val="auto"/>
          <w:sz w:val="22"/>
          <w:szCs w:val="22"/>
        </w:rPr>
      </w:pPr>
      <w:r w:rsidRPr="008944FD">
        <w:rPr>
          <w:rFonts w:cs="Arial"/>
          <w:color w:val="auto"/>
          <w:sz w:val="22"/>
          <w:szCs w:val="22"/>
        </w:rPr>
        <w:t>4th Floor, The Athenaeum Building</w:t>
      </w:r>
    </w:p>
    <w:p w14:paraId="00FDAE6E" w14:textId="77777777" w:rsidR="00C7772A" w:rsidRPr="008944FD" w:rsidRDefault="00C7772A" w:rsidP="00C7772A">
      <w:pPr>
        <w:pStyle w:val="AS-S01Stationarybar"/>
        <w:rPr>
          <w:rFonts w:cs="Arial"/>
          <w:color w:val="auto"/>
          <w:sz w:val="22"/>
          <w:szCs w:val="22"/>
        </w:rPr>
      </w:pPr>
      <w:r w:rsidRPr="008944FD">
        <w:rPr>
          <w:rFonts w:cs="Arial"/>
          <w:color w:val="auto"/>
          <w:sz w:val="22"/>
          <w:szCs w:val="22"/>
        </w:rPr>
        <w:t>8 Nelson Mandela Place</w:t>
      </w:r>
    </w:p>
    <w:p w14:paraId="1F196B6F" w14:textId="77777777" w:rsidR="00C7772A" w:rsidRPr="008944FD" w:rsidRDefault="00C7772A" w:rsidP="00C7772A">
      <w:pPr>
        <w:pStyle w:val="AS-S01Stationarybar"/>
        <w:rPr>
          <w:rFonts w:cs="Arial"/>
          <w:color w:val="auto"/>
          <w:sz w:val="22"/>
          <w:szCs w:val="22"/>
        </w:rPr>
      </w:pPr>
      <w:r w:rsidRPr="008944FD">
        <w:rPr>
          <w:rFonts w:cs="Arial"/>
          <w:color w:val="auto"/>
          <w:sz w:val="22"/>
          <w:szCs w:val="22"/>
        </w:rPr>
        <w:t>Glasgow, G2 1BT</w:t>
      </w:r>
    </w:p>
    <w:p w14:paraId="2D3B4104" w14:textId="77777777" w:rsidR="00C7772A" w:rsidRPr="008944FD" w:rsidRDefault="00C7772A" w:rsidP="00C7772A">
      <w:pPr>
        <w:pStyle w:val="AS-S01Stationarybar"/>
        <w:rPr>
          <w:rFonts w:cs="Arial"/>
          <w:color w:val="auto"/>
          <w:sz w:val="22"/>
          <w:szCs w:val="22"/>
        </w:rPr>
      </w:pPr>
    </w:p>
    <w:p w14:paraId="553A0491" w14:textId="77777777" w:rsidR="00C7772A" w:rsidRPr="008944FD" w:rsidRDefault="00C7772A" w:rsidP="00C7772A">
      <w:pPr>
        <w:pStyle w:val="AS-S01Stationarybar"/>
        <w:rPr>
          <w:rFonts w:cs="Arial"/>
          <w:color w:val="auto"/>
          <w:sz w:val="22"/>
          <w:szCs w:val="22"/>
        </w:rPr>
      </w:pPr>
      <w:r w:rsidRPr="008944FD">
        <w:rPr>
          <w:rFonts w:cs="Arial"/>
          <w:color w:val="auto"/>
          <w:sz w:val="22"/>
          <w:szCs w:val="22"/>
        </w:rPr>
        <w:t>5 September 2022</w:t>
      </w:r>
    </w:p>
    <w:p w14:paraId="2DCE0329" w14:textId="77777777" w:rsidR="00C7772A" w:rsidRPr="008944FD" w:rsidRDefault="00C7772A" w:rsidP="00C7772A">
      <w:pPr>
        <w:pStyle w:val="AS-P07-Bodynumbered"/>
        <w:numPr>
          <w:ilvl w:val="0"/>
          <w:numId w:val="0"/>
        </w:numPr>
        <w:rPr>
          <w:rFonts w:cs="Arial"/>
          <w:color w:val="auto"/>
          <w:sz w:val="22"/>
          <w:szCs w:val="22"/>
        </w:rPr>
      </w:pPr>
    </w:p>
    <w:p w14:paraId="535BFAD5" w14:textId="77777777" w:rsidR="00C7772A" w:rsidRPr="00C7772A" w:rsidRDefault="00C7772A" w:rsidP="00C7772A">
      <w:pPr>
        <w:spacing w:before="120" w:after="240"/>
        <w:rPr>
          <w:rFonts w:cs="Arial"/>
          <w:color w:val="000000" w:themeColor="text1"/>
          <w:sz w:val="22"/>
          <w:szCs w:val="22"/>
        </w:rPr>
      </w:pPr>
    </w:p>
    <w:p w14:paraId="115B89D4" w14:textId="77777777" w:rsidR="00C7772A" w:rsidRPr="00C7772A" w:rsidRDefault="00C7772A">
      <w:pPr>
        <w:pStyle w:val="09-Bodytext"/>
        <w:rPr>
          <w:rFonts w:cs="Arial"/>
          <w:szCs w:val="22"/>
        </w:rPr>
      </w:pPr>
    </w:p>
    <w:p w14:paraId="6DAE4384" w14:textId="77777777" w:rsidR="00AF51F1" w:rsidRPr="00C7772A" w:rsidRDefault="00AF51F1">
      <w:pPr>
        <w:pStyle w:val="09-Bodytext"/>
        <w:rPr>
          <w:rFonts w:cs="Arial"/>
          <w:szCs w:val="22"/>
          <w:shd w:val="clear" w:color="auto" w:fill="FFFF00"/>
        </w:rPr>
      </w:pPr>
    </w:p>
    <w:sectPr w:rsidR="00AF51F1" w:rsidRPr="00C7772A" w:rsidSect="009B21AC">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8FC20" w14:textId="77777777" w:rsidR="00711D3C" w:rsidRDefault="00711D3C">
      <w:r>
        <w:separator/>
      </w:r>
    </w:p>
  </w:endnote>
  <w:endnote w:type="continuationSeparator" w:id="0">
    <w:p w14:paraId="47059F78" w14:textId="77777777" w:rsidR="00711D3C" w:rsidRDefault="00711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6C97A" w14:textId="77777777" w:rsidR="008B5CAC" w:rsidRDefault="008B5C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ABF50" w14:textId="77777777" w:rsidR="00155E63" w:rsidRDefault="00155E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A9006" w14:textId="77777777" w:rsidR="008B5CAC" w:rsidRDefault="008B5C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967C1" w14:textId="77777777" w:rsidR="00711D3C" w:rsidRDefault="00711D3C">
      <w:r>
        <w:rPr>
          <w:color w:val="000000"/>
        </w:rPr>
        <w:separator/>
      </w:r>
    </w:p>
  </w:footnote>
  <w:footnote w:type="continuationSeparator" w:id="0">
    <w:p w14:paraId="06AF8AD1" w14:textId="77777777" w:rsidR="00711D3C" w:rsidRDefault="00711D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B845B" w14:textId="77777777" w:rsidR="008B5CAC" w:rsidRDefault="008B5C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274A0" w14:textId="77777777" w:rsidR="008B5CAC" w:rsidRDefault="008B5C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A6F75" w14:textId="77777777" w:rsidR="008B5CAC" w:rsidRDefault="008B5C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4D23"/>
    <w:multiLevelType w:val="hybridMultilevel"/>
    <w:tmpl w:val="29341484"/>
    <w:lvl w:ilvl="0" w:tplc="08090001">
      <w:start w:val="1"/>
      <w:numFmt w:val="bullet"/>
      <w:lvlText w:val=""/>
      <w:lvlJc w:val="left"/>
      <w:pPr>
        <w:ind w:left="1878" w:hanging="360"/>
      </w:pPr>
      <w:rPr>
        <w:rFonts w:ascii="Symbol" w:hAnsi="Symbol" w:hint="default"/>
      </w:rPr>
    </w:lvl>
    <w:lvl w:ilvl="1" w:tplc="08090003" w:tentative="1">
      <w:start w:val="1"/>
      <w:numFmt w:val="bullet"/>
      <w:lvlText w:val="o"/>
      <w:lvlJc w:val="left"/>
      <w:pPr>
        <w:ind w:left="2598" w:hanging="360"/>
      </w:pPr>
      <w:rPr>
        <w:rFonts w:ascii="Courier New" w:hAnsi="Courier New" w:cs="Courier New" w:hint="default"/>
      </w:rPr>
    </w:lvl>
    <w:lvl w:ilvl="2" w:tplc="08090005" w:tentative="1">
      <w:start w:val="1"/>
      <w:numFmt w:val="bullet"/>
      <w:lvlText w:val=""/>
      <w:lvlJc w:val="left"/>
      <w:pPr>
        <w:ind w:left="3318" w:hanging="360"/>
      </w:pPr>
      <w:rPr>
        <w:rFonts w:ascii="Wingdings" w:hAnsi="Wingdings" w:hint="default"/>
      </w:rPr>
    </w:lvl>
    <w:lvl w:ilvl="3" w:tplc="08090001" w:tentative="1">
      <w:start w:val="1"/>
      <w:numFmt w:val="bullet"/>
      <w:lvlText w:val=""/>
      <w:lvlJc w:val="left"/>
      <w:pPr>
        <w:ind w:left="4038" w:hanging="360"/>
      </w:pPr>
      <w:rPr>
        <w:rFonts w:ascii="Symbol" w:hAnsi="Symbol" w:hint="default"/>
      </w:rPr>
    </w:lvl>
    <w:lvl w:ilvl="4" w:tplc="08090003" w:tentative="1">
      <w:start w:val="1"/>
      <w:numFmt w:val="bullet"/>
      <w:lvlText w:val="o"/>
      <w:lvlJc w:val="left"/>
      <w:pPr>
        <w:ind w:left="4758" w:hanging="360"/>
      </w:pPr>
      <w:rPr>
        <w:rFonts w:ascii="Courier New" w:hAnsi="Courier New" w:cs="Courier New" w:hint="default"/>
      </w:rPr>
    </w:lvl>
    <w:lvl w:ilvl="5" w:tplc="08090005" w:tentative="1">
      <w:start w:val="1"/>
      <w:numFmt w:val="bullet"/>
      <w:lvlText w:val=""/>
      <w:lvlJc w:val="left"/>
      <w:pPr>
        <w:ind w:left="5478" w:hanging="360"/>
      </w:pPr>
      <w:rPr>
        <w:rFonts w:ascii="Wingdings" w:hAnsi="Wingdings" w:hint="default"/>
      </w:rPr>
    </w:lvl>
    <w:lvl w:ilvl="6" w:tplc="08090001" w:tentative="1">
      <w:start w:val="1"/>
      <w:numFmt w:val="bullet"/>
      <w:lvlText w:val=""/>
      <w:lvlJc w:val="left"/>
      <w:pPr>
        <w:ind w:left="6198" w:hanging="360"/>
      </w:pPr>
      <w:rPr>
        <w:rFonts w:ascii="Symbol" w:hAnsi="Symbol" w:hint="default"/>
      </w:rPr>
    </w:lvl>
    <w:lvl w:ilvl="7" w:tplc="08090003" w:tentative="1">
      <w:start w:val="1"/>
      <w:numFmt w:val="bullet"/>
      <w:lvlText w:val="o"/>
      <w:lvlJc w:val="left"/>
      <w:pPr>
        <w:ind w:left="6918" w:hanging="360"/>
      </w:pPr>
      <w:rPr>
        <w:rFonts w:ascii="Courier New" w:hAnsi="Courier New" w:cs="Courier New" w:hint="default"/>
      </w:rPr>
    </w:lvl>
    <w:lvl w:ilvl="8" w:tplc="08090005" w:tentative="1">
      <w:start w:val="1"/>
      <w:numFmt w:val="bullet"/>
      <w:lvlText w:val=""/>
      <w:lvlJc w:val="left"/>
      <w:pPr>
        <w:ind w:left="7638" w:hanging="360"/>
      </w:pPr>
      <w:rPr>
        <w:rFonts w:ascii="Wingdings" w:hAnsi="Wingdings" w:hint="default"/>
      </w:rPr>
    </w:lvl>
  </w:abstractNum>
  <w:abstractNum w:abstractNumId="1" w15:restartNumberingAfterBreak="0">
    <w:nsid w:val="06687632"/>
    <w:multiLevelType w:val="multilevel"/>
    <w:tmpl w:val="B470C86A"/>
    <w:lvl w:ilvl="0">
      <w:start w:val="1"/>
      <w:numFmt w:val="bullet"/>
      <w:lvlText w:val=""/>
      <w:lvlJc w:val="left"/>
      <w:pPr>
        <w:ind w:left="567" w:hanging="283"/>
      </w:pPr>
      <w:rPr>
        <w:rFonts w:ascii="Symbol" w:hAnsi="Symbol" w:hint="default"/>
        <w:color w:val="006B8D"/>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hint="default"/>
      </w:rPr>
    </w:lvl>
  </w:abstractNum>
  <w:abstractNum w:abstractNumId="2" w15:restartNumberingAfterBreak="0">
    <w:nsid w:val="09A7057B"/>
    <w:multiLevelType w:val="multilevel"/>
    <w:tmpl w:val="B470C86A"/>
    <w:lvl w:ilvl="0">
      <w:start w:val="1"/>
      <w:numFmt w:val="bullet"/>
      <w:lvlText w:val=""/>
      <w:lvlJc w:val="left"/>
      <w:pPr>
        <w:ind w:left="567" w:hanging="283"/>
      </w:pPr>
      <w:rPr>
        <w:rFonts w:ascii="Symbol" w:hAnsi="Symbol" w:hint="default"/>
        <w:color w:val="006B8D"/>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hint="default"/>
      </w:rPr>
    </w:lvl>
  </w:abstractNum>
  <w:abstractNum w:abstractNumId="3" w15:restartNumberingAfterBreak="0">
    <w:nsid w:val="0C2B7FB4"/>
    <w:multiLevelType w:val="multilevel"/>
    <w:tmpl w:val="E2EE66A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0B7615B"/>
    <w:multiLevelType w:val="multilevel"/>
    <w:tmpl w:val="33165EA8"/>
    <w:styleLink w:val="LFO11"/>
    <w:lvl w:ilvl="0">
      <w:numFmt w:val="bullet"/>
      <w:pStyle w:val="AS-P08-Bullet1"/>
      <w:lvlText w:val=""/>
      <w:lvlJc w:val="left"/>
      <w:pPr>
        <w:ind w:left="567" w:hanging="283"/>
      </w:pPr>
      <w:rPr>
        <w:rFonts w:ascii="Symbol" w:hAnsi="Symbol"/>
        <w:color w:val="006B8D"/>
      </w:rPr>
    </w:lvl>
    <w:lvl w:ilvl="1">
      <w:numFmt w:val="bullet"/>
      <w:lvlText w:val="o"/>
      <w:lvlJc w:val="left"/>
      <w:pPr>
        <w:ind w:left="1894" w:hanging="360"/>
      </w:pPr>
      <w:rPr>
        <w:rFonts w:ascii="Courier New" w:hAnsi="Courier New" w:cs="Courier New"/>
      </w:rPr>
    </w:lvl>
    <w:lvl w:ilvl="2">
      <w:numFmt w:val="bullet"/>
      <w:lvlText w:val=""/>
      <w:lvlJc w:val="left"/>
      <w:pPr>
        <w:ind w:left="2614" w:hanging="360"/>
      </w:pPr>
      <w:rPr>
        <w:rFonts w:ascii="Wingdings" w:hAnsi="Wingdings"/>
      </w:rPr>
    </w:lvl>
    <w:lvl w:ilvl="3">
      <w:numFmt w:val="bullet"/>
      <w:lvlText w:val=""/>
      <w:lvlJc w:val="left"/>
      <w:pPr>
        <w:ind w:left="3334" w:hanging="360"/>
      </w:pPr>
      <w:rPr>
        <w:rFonts w:ascii="Symbol" w:hAnsi="Symbol"/>
      </w:rPr>
    </w:lvl>
    <w:lvl w:ilvl="4">
      <w:numFmt w:val="bullet"/>
      <w:lvlText w:val="o"/>
      <w:lvlJc w:val="left"/>
      <w:pPr>
        <w:ind w:left="4054" w:hanging="360"/>
      </w:pPr>
      <w:rPr>
        <w:rFonts w:ascii="Courier New" w:hAnsi="Courier New" w:cs="Courier New"/>
      </w:rPr>
    </w:lvl>
    <w:lvl w:ilvl="5">
      <w:numFmt w:val="bullet"/>
      <w:lvlText w:val=""/>
      <w:lvlJc w:val="left"/>
      <w:pPr>
        <w:ind w:left="4774" w:hanging="360"/>
      </w:pPr>
      <w:rPr>
        <w:rFonts w:ascii="Wingdings" w:hAnsi="Wingdings"/>
      </w:rPr>
    </w:lvl>
    <w:lvl w:ilvl="6">
      <w:numFmt w:val="bullet"/>
      <w:lvlText w:val=""/>
      <w:lvlJc w:val="left"/>
      <w:pPr>
        <w:ind w:left="5494" w:hanging="360"/>
      </w:pPr>
      <w:rPr>
        <w:rFonts w:ascii="Symbol" w:hAnsi="Symbol"/>
      </w:rPr>
    </w:lvl>
    <w:lvl w:ilvl="7">
      <w:numFmt w:val="bullet"/>
      <w:lvlText w:val="o"/>
      <w:lvlJc w:val="left"/>
      <w:pPr>
        <w:ind w:left="6214" w:hanging="360"/>
      </w:pPr>
      <w:rPr>
        <w:rFonts w:ascii="Courier New" w:hAnsi="Courier New" w:cs="Courier New"/>
      </w:rPr>
    </w:lvl>
    <w:lvl w:ilvl="8">
      <w:numFmt w:val="bullet"/>
      <w:lvlText w:val=""/>
      <w:lvlJc w:val="left"/>
      <w:pPr>
        <w:ind w:left="6934" w:hanging="360"/>
      </w:pPr>
      <w:rPr>
        <w:rFonts w:ascii="Wingdings" w:hAnsi="Wingdings"/>
      </w:rPr>
    </w:lvl>
  </w:abstractNum>
  <w:abstractNum w:abstractNumId="5" w15:restartNumberingAfterBreak="0">
    <w:nsid w:val="1BB05EBF"/>
    <w:multiLevelType w:val="multilevel"/>
    <w:tmpl w:val="0AB2B5B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C3A20B7"/>
    <w:multiLevelType w:val="multilevel"/>
    <w:tmpl w:val="6ED43C4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D87763D"/>
    <w:multiLevelType w:val="multilevel"/>
    <w:tmpl w:val="AC5A7DA2"/>
    <w:styleLink w:val="LFO6"/>
    <w:lvl w:ilvl="0">
      <w:numFmt w:val="bullet"/>
      <w:pStyle w:val="11-Bullet1"/>
      <w:lvlText w:val=""/>
      <w:lvlJc w:val="left"/>
      <w:pPr>
        <w:ind w:left="814" w:hanging="360"/>
      </w:pPr>
      <w:rPr>
        <w:rFonts w:ascii="Symbol" w:hAnsi="Symbol"/>
        <w:color w:val="00607A"/>
      </w:rPr>
    </w:lvl>
    <w:lvl w:ilvl="1">
      <w:numFmt w:val="bullet"/>
      <w:lvlText w:val="o"/>
      <w:lvlJc w:val="left"/>
      <w:pPr>
        <w:ind w:left="1800" w:hanging="360"/>
      </w:pPr>
      <w:rPr>
        <w:rFonts w:ascii="Courier New" w:hAnsi="Courier New" w:cs="Times New Roman"/>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Times New Roman"/>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Times New Roman"/>
      </w:rPr>
    </w:lvl>
    <w:lvl w:ilvl="8">
      <w:numFmt w:val="bullet"/>
      <w:lvlText w:val=""/>
      <w:lvlJc w:val="left"/>
      <w:pPr>
        <w:ind w:left="6840" w:hanging="360"/>
      </w:pPr>
      <w:rPr>
        <w:rFonts w:ascii="Wingdings" w:hAnsi="Wingdings"/>
      </w:rPr>
    </w:lvl>
  </w:abstractNum>
  <w:abstractNum w:abstractNumId="8" w15:restartNumberingAfterBreak="0">
    <w:nsid w:val="22363BBB"/>
    <w:multiLevelType w:val="hybridMultilevel"/>
    <w:tmpl w:val="7C30A33C"/>
    <w:lvl w:ilvl="0" w:tplc="08090001">
      <w:start w:val="1"/>
      <w:numFmt w:val="bullet"/>
      <w:lvlText w:val=""/>
      <w:lvlJc w:val="left"/>
      <w:pPr>
        <w:ind w:left="1878" w:hanging="360"/>
      </w:pPr>
      <w:rPr>
        <w:rFonts w:ascii="Symbol" w:hAnsi="Symbol" w:hint="default"/>
      </w:rPr>
    </w:lvl>
    <w:lvl w:ilvl="1" w:tplc="08090003" w:tentative="1">
      <w:start w:val="1"/>
      <w:numFmt w:val="bullet"/>
      <w:lvlText w:val="o"/>
      <w:lvlJc w:val="left"/>
      <w:pPr>
        <w:ind w:left="2598" w:hanging="360"/>
      </w:pPr>
      <w:rPr>
        <w:rFonts w:ascii="Courier New" w:hAnsi="Courier New" w:cs="Courier New" w:hint="default"/>
      </w:rPr>
    </w:lvl>
    <w:lvl w:ilvl="2" w:tplc="08090005" w:tentative="1">
      <w:start w:val="1"/>
      <w:numFmt w:val="bullet"/>
      <w:lvlText w:val=""/>
      <w:lvlJc w:val="left"/>
      <w:pPr>
        <w:ind w:left="3318" w:hanging="360"/>
      </w:pPr>
      <w:rPr>
        <w:rFonts w:ascii="Wingdings" w:hAnsi="Wingdings" w:hint="default"/>
      </w:rPr>
    </w:lvl>
    <w:lvl w:ilvl="3" w:tplc="08090001" w:tentative="1">
      <w:start w:val="1"/>
      <w:numFmt w:val="bullet"/>
      <w:lvlText w:val=""/>
      <w:lvlJc w:val="left"/>
      <w:pPr>
        <w:ind w:left="4038" w:hanging="360"/>
      </w:pPr>
      <w:rPr>
        <w:rFonts w:ascii="Symbol" w:hAnsi="Symbol" w:hint="default"/>
      </w:rPr>
    </w:lvl>
    <w:lvl w:ilvl="4" w:tplc="08090003" w:tentative="1">
      <w:start w:val="1"/>
      <w:numFmt w:val="bullet"/>
      <w:lvlText w:val="o"/>
      <w:lvlJc w:val="left"/>
      <w:pPr>
        <w:ind w:left="4758" w:hanging="360"/>
      </w:pPr>
      <w:rPr>
        <w:rFonts w:ascii="Courier New" w:hAnsi="Courier New" w:cs="Courier New" w:hint="default"/>
      </w:rPr>
    </w:lvl>
    <w:lvl w:ilvl="5" w:tplc="08090005" w:tentative="1">
      <w:start w:val="1"/>
      <w:numFmt w:val="bullet"/>
      <w:lvlText w:val=""/>
      <w:lvlJc w:val="left"/>
      <w:pPr>
        <w:ind w:left="5478" w:hanging="360"/>
      </w:pPr>
      <w:rPr>
        <w:rFonts w:ascii="Wingdings" w:hAnsi="Wingdings" w:hint="default"/>
      </w:rPr>
    </w:lvl>
    <w:lvl w:ilvl="6" w:tplc="08090001" w:tentative="1">
      <w:start w:val="1"/>
      <w:numFmt w:val="bullet"/>
      <w:lvlText w:val=""/>
      <w:lvlJc w:val="left"/>
      <w:pPr>
        <w:ind w:left="6198" w:hanging="360"/>
      </w:pPr>
      <w:rPr>
        <w:rFonts w:ascii="Symbol" w:hAnsi="Symbol" w:hint="default"/>
      </w:rPr>
    </w:lvl>
    <w:lvl w:ilvl="7" w:tplc="08090003" w:tentative="1">
      <w:start w:val="1"/>
      <w:numFmt w:val="bullet"/>
      <w:lvlText w:val="o"/>
      <w:lvlJc w:val="left"/>
      <w:pPr>
        <w:ind w:left="6918" w:hanging="360"/>
      </w:pPr>
      <w:rPr>
        <w:rFonts w:ascii="Courier New" w:hAnsi="Courier New" w:cs="Courier New" w:hint="default"/>
      </w:rPr>
    </w:lvl>
    <w:lvl w:ilvl="8" w:tplc="08090005" w:tentative="1">
      <w:start w:val="1"/>
      <w:numFmt w:val="bullet"/>
      <w:lvlText w:val=""/>
      <w:lvlJc w:val="left"/>
      <w:pPr>
        <w:ind w:left="7638" w:hanging="360"/>
      </w:pPr>
      <w:rPr>
        <w:rFonts w:ascii="Wingdings" w:hAnsi="Wingdings" w:hint="default"/>
      </w:rPr>
    </w:lvl>
  </w:abstractNum>
  <w:abstractNum w:abstractNumId="9" w15:restartNumberingAfterBreak="0">
    <w:nsid w:val="26F707C5"/>
    <w:multiLevelType w:val="multilevel"/>
    <w:tmpl w:val="B470C86A"/>
    <w:lvl w:ilvl="0">
      <w:start w:val="1"/>
      <w:numFmt w:val="bullet"/>
      <w:lvlText w:val=""/>
      <w:lvlJc w:val="left"/>
      <w:pPr>
        <w:ind w:left="567" w:hanging="283"/>
      </w:pPr>
      <w:rPr>
        <w:rFonts w:ascii="Symbol" w:hAnsi="Symbol" w:hint="default"/>
        <w:color w:val="006B8D"/>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hint="default"/>
      </w:rPr>
    </w:lvl>
  </w:abstractNum>
  <w:abstractNum w:abstractNumId="10" w15:restartNumberingAfterBreak="0">
    <w:nsid w:val="287F4F77"/>
    <w:multiLevelType w:val="multilevel"/>
    <w:tmpl w:val="9C0861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A0419AF"/>
    <w:multiLevelType w:val="multilevel"/>
    <w:tmpl w:val="BDD64176"/>
    <w:lvl w:ilvl="0">
      <w:start w:val="1"/>
      <w:numFmt w:val="bullet"/>
      <w:lvlText w:val=""/>
      <w:lvlJc w:val="left"/>
      <w:pPr>
        <w:ind w:left="567" w:hanging="283"/>
      </w:pPr>
      <w:rPr>
        <w:rFonts w:ascii="Symbol" w:hAnsi="Symbol" w:hint="default"/>
        <w:color w:val="006B8D"/>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hint="default"/>
      </w:rPr>
    </w:lvl>
  </w:abstractNum>
  <w:abstractNum w:abstractNumId="12" w15:restartNumberingAfterBreak="0">
    <w:nsid w:val="2A361FC6"/>
    <w:multiLevelType w:val="multilevel"/>
    <w:tmpl w:val="516AD2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34B70B02"/>
    <w:multiLevelType w:val="multilevel"/>
    <w:tmpl w:val="DA0805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34D34845"/>
    <w:multiLevelType w:val="multilevel"/>
    <w:tmpl w:val="AC0CF400"/>
    <w:lvl w:ilvl="0">
      <w:start w:val="1"/>
      <w:numFmt w:val="bullet"/>
      <w:lvlText w:val=""/>
      <w:lvlJc w:val="left"/>
      <w:pPr>
        <w:ind w:left="567" w:hanging="283"/>
      </w:pPr>
      <w:rPr>
        <w:rFonts w:ascii="Symbol" w:hAnsi="Symbol" w:hint="default"/>
        <w:color w:val="006B8D"/>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hint="default"/>
      </w:rPr>
    </w:lvl>
  </w:abstractNum>
  <w:abstractNum w:abstractNumId="15" w15:restartNumberingAfterBreak="0">
    <w:nsid w:val="393849E2"/>
    <w:multiLevelType w:val="multilevel"/>
    <w:tmpl w:val="6E5C40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3E13225E"/>
    <w:multiLevelType w:val="hybridMultilevel"/>
    <w:tmpl w:val="2B50F81E"/>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17" w15:restartNumberingAfterBreak="0">
    <w:nsid w:val="3F346FFB"/>
    <w:multiLevelType w:val="hybridMultilevel"/>
    <w:tmpl w:val="D53290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11759B6"/>
    <w:multiLevelType w:val="multilevel"/>
    <w:tmpl w:val="D4101A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41201E81"/>
    <w:multiLevelType w:val="multilevel"/>
    <w:tmpl w:val="D514206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4487426F"/>
    <w:multiLevelType w:val="multilevel"/>
    <w:tmpl w:val="DC64A3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47C176F2"/>
    <w:multiLevelType w:val="multilevel"/>
    <w:tmpl w:val="E9D67C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4E886C6D"/>
    <w:multiLevelType w:val="multilevel"/>
    <w:tmpl w:val="745A0786"/>
    <w:lvl w:ilvl="0">
      <w:start w:val="1"/>
      <w:numFmt w:val="decimal"/>
      <w:lvlText w:val="%1. "/>
      <w:lvlJc w:val="left"/>
      <w:pPr>
        <w:ind w:left="0" w:firstLine="0"/>
      </w:pPr>
      <w:rPr>
        <w:b/>
        <w:i w:val="0"/>
        <w:color w:val="4472C4" w:themeColor="accent1"/>
        <w:sz w:val="24"/>
      </w:rPr>
    </w:lvl>
    <w:lvl w:ilvl="1">
      <w:start w:val="1"/>
      <w:numFmt w:val="decimal"/>
      <w:lvlText w:val="%1.%2."/>
      <w:lvlJc w:val="left"/>
      <w:pPr>
        <w:tabs>
          <w:tab w:val="num" w:pos="1021"/>
        </w:tabs>
        <w:ind w:left="1134" w:hanging="567"/>
      </w:pPr>
      <w:rPr>
        <w:rFonts w:hint="default"/>
        <w:b/>
        <w:i w:val="0"/>
        <w:color w:val="00607A"/>
        <w:sz w:val="18"/>
      </w:rPr>
    </w:lvl>
    <w:lvl w:ilvl="2">
      <w:start w:val="1"/>
      <w:numFmt w:val="decimal"/>
      <w:lvlText w:val="%1.%2.%3."/>
      <w:lvlJc w:val="left"/>
      <w:pPr>
        <w:tabs>
          <w:tab w:val="num" w:pos="1701"/>
        </w:tabs>
        <w:ind w:left="1701" w:hanging="567"/>
      </w:pPr>
      <w:rPr>
        <w:rFonts w:hint="default"/>
        <w:b/>
        <w:i w:val="0"/>
        <w:color w:val="00607A"/>
        <w:sz w:val="18"/>
      </w:rPr>
    </w:lvl>
    <w:lvl w:ilvl="3">
      <w:start w:val="1"/>
      <w:numFmt w:val="decimal"/>
      <w:lvlText w:val="%1.%2.%3.%4."/>
      <w:lvlJc w:val="left"/>
      <w:pPr>
        <w:tabs>
          <w:tab w:val="num" w:pos="2160"/>
        </w:tabs>
        <w:ind w:left="2268" w:hanging="567"/>
      </w:pPr>
      <w:rPr>
        <w:rFonts w:hint="default"/>
      </w:rPr>
    </w:lvl>
    <w:lvl w:ilvl="4">
      <w:start w:val="1"/>
      <w:numFmt w:val="decimal"/>
      <w:lvlText w:val="%1.%2.%3.%4.%5."/>
      <w:lvlJc w:val="left"/>
      <w:pPr>
        <w:tabs>
          <w:tab w:val="num" w:pos="2520"/>
        </w:tabs>
        <w:ind w:left="2835" w:hanging="567"/>
      </w:pPr>
      <w:rPr>
        <w:rFonts w:hint="default"/>
      </w:rPr>
    </w:lvl>
    <w:lvl w:ilvl="5">
      <w:start w:val="1"/>
      <w:numFmt w:val="decimal"/>
      <w:lvlText w:val="%1.%2.%3.%4.%5.%6."/>
      <w:lvlJc w:val="left"/>
      <w:pPr>
        <w:tabs>
          <w:tab w:val="num" w:pos="3240"/>
        </w:tabs>
        <w:ind w:left="3402" w:hanging="567"/>
      </w:pPr>
      <w:rPr>
        <w:rFonts w:hint="default"/>
      </w:rPr>
    </w:lvl>
    <w:lvl w:ilvl="6">
      <w:start w:val="1"/>
      <w:numFmt w:val="decimal"/>
      <w:lvlText w:val="%1.%2.%3.%4.%5.%6.%7."/>
      <w:lvlJc w:val="left"/>
      <w:pPr>
        <w:tabs>
          <w:tab w:val="num" w:pos="3960"/>
        </w:tabs>
        <w:ind w:left="3969" w:hanging="567"/>
      </w:pPr>
      <w:rPr>
        <w:rFonts w:hint="default"/>
      </w:rPr>
    </w:lvl>
    <w:lvl w:ilvl="7">
      <w:start w:val="1"/>
      <w:numFmt w:val="decimal"/>
      <w:lvlText w:val="%1.%2.%3.%4.%5.%6.%7.%8."/>
      <w:lvlJc w:val="left"/>
      <w:pPr>
        <w:tabs>
          <w:tab w:val="num" w:pos="4320"/>
        </w:tabs>
        <w:ind w:left="4536" w:hanging="567"/>
      </w:pPr>
      <w:rPr>
        <w:rFonts w:hint="default"/>
      </w:rPr>
    </w:lvl>
    <w:lvl w:ilvl="8">
      <w:start w:val="1"/>
      <w:numFmt w:val="decimal"/>
      <w:lvlText w:val="%1.%2.%3.%4.%5.%6.%7.%8.%9."/>
      <w:lvlJc w:val="left"/>
      <w:pPr>
        <w:tabs>
          <w:tab w:val="num" w:pos="5040"/>
        </w:tabs>
        <w:ind w:left="5103" w:hanging="567"/>
      </w:pPr>
      <w:rPr>
        <w:rFonts w:hint="default"/>
      </w:rPr>
    </w:lvl>
  </w:abstractNum>
  <w:abstractNum w:abstractNumId="23" w15:restartNumberingAfterBreak="0">
    <w:nsid w:val="508B2852"/>
    <w:multiLevelType w:val="multilevel"/>
    <w:tmpl w:val="35320E9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5A87413B"/>
    <w:multiLevelType w:val="hybridMultilevel"/>
    <w:tmpl w:val="7F0A344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5C700172"/>
    <w:multiLevelType w:val="multilevel"/>
    <w:tmpl w:val="4532EB5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63DB1226"/>
    <w:multiLevelType w:val="multilevel"/>
    <w:tmpl w:val="FCCCB9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64893330"/>
    <w:multiLevelType w:val="multilevel"/>
    <w:tmpl w:val="CB809768"/>
    <w:styleLink w:val="LFO12"/>
    <w:lvl w:ilvl="0">
      <w:start w:val="1"/>
      <w:numFmt w:val="decimal"/>
      <w:pStyle w:val="AS-P07-Bodynumbered"/>
      <w:lvlText w:val="%1. "/>
      <w:lvlJc w:val="left"/>
      <w:rPr>
        <w:b/>
        <w:i w:val="0"/>
        <w:color w:val="5B9BD5"/>
        <w:sz w:val="24"/>
      </w:rPr>
    </w:lvl>
    <w:lvl w:ilvl="1">
      <w:start w:val="1"/>
      <w:numFmt w:val="decimal"/>
      <w:lvlText w:val="%1.%2."/>
      <w:lvlJc w:val="left"/>
      <w:pPr>
        <w:ind w:left="1134" w:hanging="567"/>
      </w:pPr>
      <w:rPr>
        <w:b/>
        <w:i w:val="0"/>
        <w:color w:val="00607A"/>
        <w:sz w:val="18"/>
      </w:rPr>
    </w:lvl>
    <w:lvl w:ilvl="2">
      <w:start w:val="1"/>
      <w:numFmt w:val="decimal"/>
      <w:lvlText w:val="%1.%2.%3."/>
      <w:lvlJc w:val="left"/>
      <w:pPr>
        <w:ind w:left="1701" w:hanging="567"/>
      </w:pPr>
      <w:rPr>
        <w:b/>
        <w:i w:val="0"/>
        <w:color w:val="00607A"/>
        <w:sz w:val="18"/>
      </w:r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28" w15:restartNumberingAfterBreak="0">
    <w:nsid w:val="78E403C0"/>
    <w:multiLevelType w:val="multilevel"/>
    <w:tmpl w:val="A6BE4C72"/>
    <w:lvl w:ilvl="0">
      <w:start w:val="1"/>
      <w:numFmt w:val="bullet"/>
      <w:lvlText w:val=""/>
      <w:lvlJc w:val="left"/>
      <w:pPr>
        <w:ind w:left="567" w:hanging="283"/>
      </w:pPr>
      <w:rPr>
        <w:rFonts w:ascii="Symbol" w:hAnsi="Symbol" w:hint="default"/>
        <w:color w:val="006B8D"/>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hint="default"/>
      </w:rPr>
    </w:lvl>
  </w:abstractNum>
  <w:num w:numId="1" w16cid:durableId="1135099417">
    <w:abstractNumId w:val="7"/>
  </w:num>
  <w:num w:numId="2" w16cid:durableId="1080099811">
    <w:abstractNumId w:val="4"/>
  </w:num>
  <w:num w:numId="3" w16cid:durableId="185020792">
    <w:abstractNumId w:val="27"/>
  </w:num>
  <w:num w:numId="4" w16cid:durableId="1516113556">
    <w:abstractNumId w:val="6"/>
  </w:num>
  <w:num w:numId="5" w16cid:durableId="853347085">
    <w:abstractNumId w:val="12"/>
  </w:num>
  <w:num w:numId="6" w16cid:durableId="1775205181">
    <w:abstractNumId w:val="20"/>
  </w:num>
  <w:num w:numId="7" w16cid:durableId="598568048">
    <w:abstractNumId w:val="13"/>
  </w:num>
  <w:num w:numId="8" w16cid:durableId="522746819">
    <w:abstractNumId w:val="23"/>
  </w:num>
  <w:num w:numId="9" w16cid:durableId="1703897289">
    <w:abstractNumId w:val="19"/>
  </w:num>
  <w:num w:numId="10" w16cid:durableId="2025011928">
    <w:abstractNumId w:val="21"/>
  </w:num>
  <w:num w:numId="11" w16cid:durableId="136455956">
    <w:abstractNumId w:val="10"/>
  </w:num>
  <w:num w:numId="12" w16cid:durableId="377629268">
    <w:abstractNumId w:val="18"/>
  </w:num>
  <w:num w:numId="13" w16cid:durableId="1930000373">
    <w:abstractNumId w:val="15"/>
  </w:num>
  <w:num w:numId="14" w16cid:durableId="1837459358">
    <w:abstractNumId w:val="25"/>
  </w:num>
  <w:num w:numId="15" w16cid:durableId="588386156">
    <w:abstractNumId w:val="26"/>
  </w:num>
  <w:num w:numId="16" w16cid:durableId="424542574">
    <w:abstractNumId w:val="3"/>
  </w:num>
  <w:num w:numId="17" w16cid:durableId="717629231">
    <w:abstractNumId w:val="5"/>
  </w:num>
  <w:num w:numId="18" w16cid:durableId="831721045">
    <w:abstractNumId w:val="17"/>
  </w:num>
  <w:num w:numId="19" w16cid:durableId="1576279503">
    <w:abstractNumId w:val="22"/>
  </w:num>
  <w:num w:numId="20" w16cid:durableId="950743932">
    <w:abstractNumId w:val="14"/>
  </w:num>
  <w:num w:numId="21" w16cid:durableId="1770545752">
    <w:abstractNumId w:val="0"/>
  </w:num>
  <w:num w:numId="22" w16cid:durableId="716201947">
    <w:abstractNumId w:val="8"/>
  </w:num>
  <w:num w:numId="23" w16cid:durableId="155995960">
    <w:abstractNumId w:val="28"/>
  </w:num>
  <w:num w:numId="24" w16cid:durableId="57480842">
    <w:abstractNumId w:val="11"/>
  </w:num>
  <w:num w:numId="25" w16cid:durableId="1564021189">
    <w:abstractNumId w:val="2"/>
  </w:num>
  <w:num w:numId="26" w16cid:durableId="876745302">
    <w:abstractNumId w:val="9"/>
  </w:num>
  <w:num w:numId="27" w16cid:durableId="680206321">
    <w:abstractNumId w:val="1"/>
  </w:num>
  <w:num w:numId="28" w16cid:durableId="903486240">
    <w:abstractNumId w:val="24"/>
  </w:num>
  <w:num w:numId="29" w16cid:durableId="176221920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characterSpacingControl w:val="doNotCompress"/>
  <w:hdrShapeDefaults>
    <o:shapedefaults v:ext="edit" spidmax="14337">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1F1"/>
    <w:rsid w:val="00001F83"/>
    <w:rsid w:val="000209D7"/>
    <w:rsid w:val="0003770A"/>
    <w:rsid w:val="000537B8"/>
    <w:rsid w:val="00080C5D"/>
    <w:rsid w:val="000A11CA"/>
    <w:rsid w:val="00120135"/>
    <w:rsid w:val="001309FF"/>
    <w:rsid w:val="00155E63"/>
    <w:rsid w:val="00157BD2"/>
    <w:rsid w:val="00194340"/>
    <w:rsid w:val="001B0F28"/>
    <w:rsid w:val="001B1E13"/>
    <w:rsid w:val="001B3A5E"/>
    <w:rsid w:val="001E5D4C"/>
    <w:rsid w:val="002564D1"/>
    <w:rsid w:val="00292930"/>
    <w:rsid w:val="002D5726"/>
    <w:rsid w:val="003A4DA1"/>
    <w:rsid w:val="003F400D"/>
    <w:rsid w:val="0046379A"/>
    <w:rsid w:val="005351E2"/>
    <w:rsid w:val="00576EF1"/>
    <w:rsid w:val="005D68BA"/>
    <w:rsid w:val="005E0E9A"/>
    <w:rsid w:val="00711D3C"/>
    <w:rsid w:val="0074048C"/>
    <w:rsid w:val="00745F68"/>
    <w:rsid w:val="007753E2"/>
    <w:rsid w:val="007B115F"/>
    <w:rsid w:val="007C4C2C"/>
    <w:rsid w:val="007C65CC"/>
    <w:rsid w:val="007D29F6"/>
    <w:rsid w:val="007D2C38"/>
    <w:rsid w:val="008371F5"/>
    <w:rsid w:val="008944FD"/>
    <w:rsid w:val="008B5CAC"/>
    <w:rsid w:val="008E3764"/>
    <w:rsid w:val="008E6983"/>
    <w:rsid w:val="00900436"/>
    <w:rsid w:val="009047EB"/>
    <w:rsid w:val="00980003"/>
    <w:rsid w:val="009B21AC"/>
    <w:rsid w:val="009C35E1"/>
    <w:rsid w:val="00A01C43"/>
    <w:rsid w:val="00AE4FC9"/>
    <w:rsid w:val="00AF51F1"/>
    <w:rsid w:val="00B0703C"/>
    <w:rsid w:val="00B46091"/>
    <w:rsid w:val="00B84A6E"/>
    <w:rsid w:val="00B95F7B"/>
    <w:rsid w:val="00BE4911"/>
    <w:rsid w:val="00BE4A88"/>
    <w:rsid w:val="00C024A0"/>
    <w:rsid w:val="00C20CE4"/>
    <w:rsid w:val="00C42896"/>
    <w:rsid w:val="00C7772A"/>
    <w:rsid w:val="00CA2E48"/>
    <w:rsid w:val="00CD682E"/>
    <w:rsid w:val="00CF09F9"/>
    <w:rsid w:val="00D731FD"/>
    <w:rsid w:val="00DA042F"/>
    <w:rsid w:val="00E84C9A"/>
    <w:rsid w:val="00EB5EC2"/>
    <w:rsid w:val="00F8122A"/>
    <w:rsid w:val="00F8584A"/>
    <w:rsid w:val="00FA3068"/>
    <w:rsid w:val="00FE15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colormenu v:ext="edit" fillcolor="none"/>
    </o:shapedefaults>
    <o:shapelayout v:ext="edit">
      <o:idmap v:ext="edit" data="1"/>
    </o:shapelayout>
  </w:shapeDefaults>
  <w:decimalSymbol w:val="."/>
  <w:listSeparator w:val=","/>
  <w14:docId w14:val="523094E2"/>
  <w15:docId w15:val="{3088D19F-5E36-45D5-8586-E7C3C53BE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Times New Roman" w:hAnsi="Arial"/>
      <w:sz w:val="24"/>
      <w:szCs w:val="24"/>
    </w:rPr>
  </w:style>
  <w:style w:type="paragraph" w:styleId="Heading1">
    <w:name w:val="heading 1"/>
    <w:basedOn w:val="Normal"/>
    <w:next w:val="Normal"/>
    <w:uiPriority w:val="9"/>
    <w:qFormat/>
    <w:pPr>
      <w:spacing w:after="160"/>
      <w:jc w:val="center"/>
      <w:outlineLvl w:val="0"/>
    </w:pPr>
    <w:rPr>
      <w:rFonts w:cs="Arial"/>
      <w:b/>
      <w:sz w:val="40"/>
      <w:szCs w:val="40"/>
    </w:rPr>
  </w:style>
  <w:style w:type="paragraph" w:styleId="Heading2">
    <w:name w:val="heading 2"/>
    <w:basedOn w:val="Normal"/>
    <w:next w:val="Normal"/>
    <w:uiPriority w:val="9"/>
    <w:unhideWhenUsed/>
    <w:qFormat/>
    <w:pPr>
      <w:keepNext/>
      <w:keepLines/>
      <w:spacing w:before="200" w:line="276" w:lineRule="auto"/>
      <w:outlineLvl w:val="1"/>
    </w:pPr>
    <w:rPr>
      <w:b/>
      <w:bCs/>
      <w:sz w:val="26"/>
      <w:szCs w:val="26"/>
    </w:rPr>
  </w:style>
  <w:style w:type="paragraph" w:styleId="Heading3">
    <w:name w:val="heading 3"/>
    <w:basedOn w:val="Normal"/>
    <w:next w:val="Normal"/>
    <w:link w:val="Heading3Char"/>
    <w:uiPriority w:val="9"/>
    <w:unhideWhenUsed/>
    <w:qFormat/>
    <w:rsid w:val="002D5726"/>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uiPriority w:val="9"/>
    <w:semiHidden/>
    <w:unhideWhenUsed/>
    <w:qFormat/>
    <w:pPr>
      <w:keepNext/>
      <w:keepLines/>
      <w:spacing w:before="40"/>
      <w:outlineLvl w:val="3"/>
    </w:pPr>
    <w:rPr>
      <w:rFonts w:ascii="Calibri Light" w:hAnsi="Calibri Light"/>
      <w:i/>
      <w:iCs/>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contextualSpacing/>
    </w:pPr>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eastAsia="Times New Roman" w:hAnsi="Segoe UI" w:cs="Segoe UI"/>
      <w:sz w:val="18"/>
      <w:szCs w:val="18"/>
    </w:rPr>
  </w:style>
  <w:style w:type="character" w:customStyle="1" w:styleId="ListParagraphChar">
    <w:name w:val="List Paragraph Char"/>
    <w:basedOn w:val="DefaultParagraphFont"/>
    <w:rPr>
      <w:rFonts w:ascii="Arial" w:eastAsia="Times New Roman" w:hAnsi="Arial" w:cs="Times New Roman"/>
      <w:sz w:val="24"/>
      <w:szCs w:val="24"/>
    </w:rPr>
  </w:style>
  <w:style w:type="paragraph" w:customStyle="1" w:styleId="L2">
    <w:name w:val="L2"/>
    <w:basedOn w:val="Normal"/>
    <w:pPr>
      <w:tabs>
        <w:tab w:val="left" w:pos="720"/>
      </w:tabs>
      <w:ind w:left="720" w:hanging="720"/>
    </w:pPr>
  </w:style>
  <w:style w:type="paragraph" w:customStyle="1" w:styleId="Default">
    <w:name w:val="Default"/>
    <w:pPr>
      <w:widowControl w:val="0"/>
      <w:suppressAutoHyphens/>
      <w:autoSpaceDE w:val="0"/>
    </w:pPr>
    <w:rPr>
      <w:rFonts w:ascii="Arial" w:eastAsia="Times New Roman" w:hAnsi="Arial" w:cs="Arial"/>
      <w:color w:val="000000"/>
      <w:sz w:val="24"/>
      <w:szCs w:val="24"/>
      <w:lang w:eastAsia="en-GB"/>
    </w:rPr>
  </w:style>
  <w:style w:type="paragraph" w:styleId="BodyText">
    <w:name w:val="Body Text"/>
    <w:basedOn w:val="Normal"/>
    <w:pPr>
      <w:widowControl w:val="0"/>
      <w:autoSpaceDE w:val="0"/>
    </w:pPr>
    <w:rPr>
      <w:rFonts w:eastAsia="Arial" w:cs="Arial"/>
      <w:sz w:val="18"/>
      <w:szCs w:val="18"/>
      <w:lang w:val="en-US"/>
    </w:rPr>
  </w:style>
  <w:style w:type="character" w:customStyle="1" w:styleId="BodyTextChar">
    <w:name w:val="Body Text Char"/>
    <w:basedOn w:val="DefaultParagraphFont"/>
    <w:rPr>
      <w:rFonts w:ascii="Arial" w:eastAsia="Arial" w:hAnsi="Arial" w:cs="Arial"/>
      <w:sz w:val="18"/>
      <w:szCs w:val="18"/>
      <w:lang w:val="en-US"/>
    </w:rPr>
  </w:style>
  <w:style w:type="character" w:styleId="Hyperlink">
    <w:name w:val="Hyperlink"/>
    <w:basedOn w:val="DefaultParagraphFont"/>
    <w:rPr>
      <w:color w:val="0000FF"/>
      <w:u w:val="single"/>
    </w:rPr>
  </w:style>
  <w:style w:type="character" w:customStyle="1" w:styleId="Heading2Char">
    <w:name w:val="Heading 2 Char"/>
    <w:basedOn w:val="DefaultParagraphFont"/>
    <w:rPr>
      <w:rFonts w:ascii="Arial" w:eastAsia="Times New Roman" w:hAnsi="Arial" w:cs="Times New Roman"/>
      <w:b/>
      <w:bCs/>
      <w:sz w:val="26"/>
      <w:szCs w:val="26"/>
    </w:rPr>
  </w:style>
  <w:style w:type="paragraph" w:styleId="Header">
    <w:name w:val="header"/>
    <w:basedOn w:val="Normal"/>
    <w:pPr>
      <w:tabs>
        <w:tab w:val="center" w:pos="4513"/>
        <w:tab w:val="right" w:pos="9026"/>
      </w:tabs>
    </w:pPr>
  </w:style>
  <w:style w:type="character" w:customStyle="1" w:styleId="HeaderChar">
    <w:name w:val="Header Char"/>
    <w:basedOn w:val="DefaultParagraphFont"/>
    <w:rPr>
      <w:rFonts w:ascii="Arial" w:eastAsia="Times New Roman" w:hAnsi="Arial" w:cs="Times New Roman"/>
      <w:sz w:val="24"/>
      <w:szCs w:val="24"/>
    </w:rPr>
  </w:style>
  <w:style w:type="paragraph" w:styleId="Footer">
    <w:name w:val="footer"/>
    <w:basedOn w:val="Normal"/>
    <w:uiPriority w:val="99"/>
    <w:pPr>
      <w:tabs>
        <w:tab w:val="center" w:pos="4513"/>
        <w:tab w:val="right" w:pos="9026"/>
      </w:tabs>
    </w:pPr>
  </w:style>
  <w:style w:type="character" w:customStyle="1" w:styleId="FooterChar">
    <w:name w:val="Footer Char"/>
    <w:basedOn w:val="DefaultParagraphFont"/>
    <w:uiPriority w:val="99"/>
    <w:rPr>
      <w:rFonts w:ascii="Arial" w:eastAsia="Times New Roman" w:hAnsi="Arial" w:cs="Times New Roman"/>
      <w:sz w:val="24"/>
      <w:szCs w:val="24"/>
    </w:rPr>
  </w:style>
  <w:style w:type="character" w:styleId="FollowedHyperlink">
    <w:name w:val="FollowedHyperlink"/>
    <w:basedOn w:val="DefaultParagraphFont"/>
    <w:rPr>
      <w:color w:val="954F72"/>
      <w:u w:val="single"/>
    </w:rPr>
  </w:style>
  <w:style w:type="paragraph" w:customStyle="1" w:styleId="09-Bodytext">
    <w:name w:val="09-Body text"/>
    <w:basedOn w:val="Normal"/>
    <w:qFormat/>
    <w:rPr>
      <w:sz w:val="22"/>
      <w:szCs w:val="20"/>
    </w:rPr>
  </w:style>
  <w:style w:type="paragraph" w:customStyle="1" w:styleId="11-Bullet1">
    <w:name w:val="11-Bullet 1"/>
    <w:basedOn w:val="09-Bodytext"/>
    <w:pPr>
      <w:numPr>
        <w:numId w:val="1"/>
      </w:numPr>
      <w:tabs>
        <w:tab w:val="left" w:pos="-4791"/>
      </w:tabs>
    </w:pPr>
    <w:rPr>
      <w:szCs w:val="22"/>
    </w:rPr>
  </w:style>
  <w:style w:type="paragraph" w:customStyle="1" w:styleId="16-Subhead2">
    <w:name w:val="16-Subhead 2"/>
    <w:basedOn w:val="Normal"/>
    <w:next w:val="Normal"/>
    <w:qFormat/>
    <w:pPr>
      <w:keepNext/>
      <w:keepLines/>
      <w:spacing w:before="280" w:after="140"/>
      <w:outlineLvl w:val="2"/>
    </w:pPr>
    <w:rPr>
      <w:b/>
      <w:color w:val="7F7F7F"/>
      <w:sz w:val="26"/>
      <w:szCs w:val="26"/>
    </w:rPr>
  </w:style>
  <w:style w:type="paragraph" w:customStyle="1" w:styleId="17-Subhead3">
    <w:name w:val="17-Subhead 3"/>
    <w:basedOn w:val="16-Subhead2"/>
    <w:next w:val="Normal"/>
    <w:pPr>
      <w:outlineLvl w:val="3"/>
    </w:pPr>
    <w:rPr>
      <w:color w:val="000000"/>
      <w:sz w:val="22"/>
      <w:szCs w:val="22"/>
    </w:rPr>
  </w:style>
  <w:style w:type="paragraph" w:customStyle="1" w:styleId="33-Pageend">
    <w:name w:val="33-Page end"/>
    <w:basedOn w:val="09-Bodytext"/>
    <w:next w:val="Normal"/>
    <w:pPr>
      <w:spacing w:after="17010"/>
    </w:pPr>
    <w:rPr>
      <w:szCs w:val="22"/>
    </w:rPr>
  </w:style>
  <w:style w:type="character" w:customStyle="1" w:styleId="01-Bold">
    <w:name w:val="01-Bold"/>
    <w:uiPriority w:val="1"/>
    <w:qFormat/>
    <w:rPr>
      <w:b/>
      <w:bCs w:val="0"/>
    </w:rPr>
  </w:style>
  <w:style w:type="character" w:customStyle="1" w:styleId="04-Normalcharacter">
    <w:name w:val="04-Normal character"/>
    <w:uiPriority w:val="1"/>
    <w:qFormat/>
  </w:style>
  <w:style w:type="character" w:customStyle="1" w:styleId="37-Highlight1">
    <w:name w:val="37-Highlight 1"/>
    <w:basedOn w:val="DefaultParagraphFont"/>
    <w:rPr>
      <w:shd w:val="clear" w:color="auto" w:fill="FFFF00"/>
    </w:rPr>
  </w:style>
  <w:style w:type="character" w:styleId="CommentReference">
    <w:name w:val="annotation reference"/>
    <w:basedOn w:val="DefaultParagraphFont"/>
    <w:rPr>
      <w:sz w:val="16"/>
      <w:szCs w:val="16"/>
    </w:rPr>
  </w:style>
  <w:style w:type="paragraph" w:styleId="CommentText">
    <w:name w:val="annotation text"/>
    <w:basedOn w:val="Normal"/>
    <w:pPr>
      <w:spacing w:after="240"/>
    </w:pPr>
    <w:rPr>
      <w:rFonts w:eastAsia="Arial"/>
      <w:color w:val="000000"/>
      <w:sz w:val="20"/>
      <w:szCs w:val="20"/>
    </w:rPr>
  </w:style>
  <w:style w:type="character" w:customStyle="1" w:styleId="CommentTextChar">
    <w:name w:val="Comment Text Char"/>
    <w:basedOn w:val="DefaultParagraphFont"/>
    <w:rPr>
      <w:rFonts w:ascii="Arial" w:eastAsia="Arial" w:hAnsi="Arial" w:cs="Times New Roman"/>
      <w:color w:val="000000"/>
      <w:sz w:val="20"/>
      <w:szCs w:val="20"/>
    </w:rPr>
  </w:style>
  <w:style w:type="paragraph" w:styleId="Revision">
    <w:name w:val="Revision"/>
    <w:pPr>
      <w:suppressAutoHyphens/>
    </w:pPr>
    <w:rPr>
      <w:rFonts w:ascii="Arial" w:eastAsia="Times New Roman" w:hAnsi="Arial"/>
      <w:sz w:val="24"/>
      <w:szCs w:val="24"/>
    </w:rPr>
  </w:style>
  <w:style w:type="paragraph" w:styleId="CommentSubject">
    <w:name w:val="annotation subject"/>
    <w:basedOn w:val="CommentText"/>
    <w:next w:val="CommentText"/>
    <w:pPr>
      <w:spacing w:after="160"/>
    </w:pPr>
    <w:rPr>
      <w:rFonts w:ascii="Calibri" w:eastAsia="Calibri" w:hAnsi="Calibri"/>
      <w:b/>
      <w:bCs/>
      <w:color w:val="auto"/>
    </w:rPr>
  </w:style>
  <w:style w:type="character" w:customStyle="1" w:styleId="CommentSubjectChar">
    <w:name w:val="Comment Subject Char"/>
    <w:basedOn w:val="CommentTextChar"/>
    <w:rPr>
      <w:rFonts w:ascii="Calibri" w:eastAsia="Calibri" w:hAnsi="Calibri" w:cs="Times New Roman"/>
      <w:b/>
      <w:bCs/>
      <w:color w:val="000000"/>
      <w:sz w:val="20"/>
      <w:szCs w:val="20"/>
    </w:rPr>
  </w:style>
  <w:style w:type="paragraph" w:customStyle="1" w:styleId="AS-P07-Bodynumbered">
    <w:name w:val="AS-P07-Body numbered"/>
    <w:qFormat/>
    <w:pPr>
      <w:numPr>
        <w:numId w:val="3"/>
      </w:numPr>
      <w:tabs>
        <w:tab w:val="left" w:pos="284"/>
        <w:tab w:val="left" w:pos="425"/>
        <w:tab w:val="left" w:pos="567"/>
      </w:tabs>
      <w:suppressAutoHyphens/>
      <w:spacing w:after="240"/>
    </w:pPr>
    <w:rPr>
      <w:rFonts w:ascii="Arial" w:eastAsia="Times New Roman" w:hAnsi="Arial"/>
      <w:color w:val="44546A"/>
      <w:kern w:val="3"/>
      <w:sz w:val="24"/>
      <w:szCs w:val="20"/>
      <w:lang w:eastAsia="en-GB"/>
    </w:rPr>
  </w:style>
  <w:style w:type="paragraph" w:customStyle="1" w:styleId="AS-P04-Subhead2">
    <w:name w:val="AS-P04-Subhead 2"/>
    <w:basedOn w:val="Normal"/>
    <w:next w:val="AS-P07-Bodynumbered"/>
    <w:qFormat/>
    <w:pPr>
      <w:keepNext/>
      <w:keepLines/>
      <w:spacing w:before="240" w:after="120"/>
      <w:outlineLvl w:val="2"/>
    </w:pPr>
    <w:rPr>
      <w:b/>
      <w:color w:val="44546A"/>
      <w:sz w:val="26"/>
      <w:szCs w:val="26"/>
      <w:lang w:eastAsia="en-GB"/>
    </w:rPr>
  </w:style>
  <w:style w:type="paragraph" w:customStyle="1" w:styleId="AS-P08-Bullet1">
    <w:name w:val="AS-P08-Bullet 1"/>
    <w:basedOn w:val="Normal"/>
    <w:qFormat/>
    <w:pPr>
      <w:numPr>
        <w:numId w:val="2"/>
      </w:numPr>
      <w:tabs>
        <w:tab w:val="left" w:pos="-4252"/>
        <w:tab w:val="left" w:pos="-3685"/>
      </w:tabs>
      <w:spacing w:after="240"/>
    </w:pPr>
    <w:rPr>
      <w:color w:val="44546A"/>
      <w:szCs w:val="20"/>
      <w:lang w:eastAsia="en-GB"/>
    </w:rPr>
  </w:style>
  <w:style w:type="paragraph" w:customStyle="1" w:styleId="AS-S01Stationarybar">
    <w:name w:val="AS-S01 Stationary bar"/>
    <w:qFormat/>
    <w:pPr>
      <w:tabs>
        <w:tab w:val="right" w:pos="9923"/>
      </w:tabs>
      <w:suppressAutoHyphens/>
    </w:pPr>
    <w:rPr>
      <w:rFonts w:ascii="Arial" w:eastAsia="Times New Roman" w:hAnsi="Arial"/>
      <w:color w:val="000000"/>
      <w:sz w:val="24"/>
      <w:szCs w:val="20"/>
    </w:rPr>
  </w:style>
  <w:style w:type="paragraph" w:customStyle="1" w:styleId="10-Bodynumbered">
    <w:name w:val="10-Body numbered"/>
    <w:basedOn w:val="Normal"/>
    <w:qFormat/>
    <w:pPr>
      <w:tabs>
        <w:tab w:val="left" w:pos="454"/>
      </w:tabs>
      <w:spacing w:before="160" w:line="320" w:lineRule="atLeast"/>
      <w:ind w:left="454" w:hanging="454"/>
    </w:pPr>
    <w:rPr>
      <w:sz w:val="22"/>
      <w:szCs w:val="22"/>
    </w:rPr>
  </w:style>
  <w:style w:type="character" w:customStyle="1" w:styleId="Heading4Char">
    <w:name w:val="Heading 4 Char"/>
    <w:basedOn w:val="DefaultParagraphFont"/>
    <w:rPr>
      <w:rFonts w:ascii="Calibri Light" w:eastAsia="Times New Roman" w:hAnsi="Calibri Light" w:cs="Times New Roman"/>
      <w:i/>
      <w:iCs/>
      <w:color w:val="2E74B5"/>
      <w:sz w:val="24"/>
      <w:szCs w:val="24"/>
    </w:rPr>
  </w:style>
  <w:style w:type="character" w:customStyle="1" w:styleId="Heading1Char">
    <w:name w:val="Heading 1 Char"/>
    <w:basedOn w:val="DefaultParagraphFont"/>
    <w:rPr>
      <w:rFonts w:ascii="Arial" w:eastAsia="Times New Roman" w:hAnsi="Arial" w:cs="Arial"/>
      <w:b/>
      <w:sz w:val="40"/>
      <w:szCs w:val="40"/>
    </w:rPr>
  </w:style>
  <w:style w:type="character" w:customStyle="1" w:styleId="L2Char">
    <w:name w:val="L2 Char"/>
    <w:basedOn w:val="DefaultParagraphFont"/>
    <w:rPr>
      <w:rFonts w:ascii="Arial" w:eastAsia="Times New Roman" w:hAnsi="Arial"/>
      <w:sz w:val="24"/>
      <w:szCs w:val="24"/>
    </w:rPr>
  </w:style>
  <w:style w:type="numbering" w:customStyle="1" w:styleId="LFO6">
    <w:name w:val="LFO6"/>
    <w:basedOn w:val="NoList"/>
    <w:pPr>
      <w:numPr>
        <w:numId w:val="1"/>
      </w:numPr>
    </w:pPr>
  </w:style>
  <w:style w:type="numbering" w:customStyle="1" w:styleId="LFO11">
    <w:name w:val="LFO11"/>
    <w:basedOn w:val="NoList"/>
    <w:pPr>
      <w:numPr>
        <w:numId w:val="2"/>
      </w:numPr>
    </w:pPr>
  </w:style>
  <w:style w:type="numbering" w:customStyle="1" w:styleId="LFO12">
    <w:name w:val="LFO12"/>
    <w:basedOn w:val="NoList"/>
    <w:pPr>
      <w:numPr>
        <w:numId w:val="3"/>
      </w:numPr>
    </w:pPr>
  </w:style>
  <w:style w:type="paragraph" w:customStyle="1" w:styleId="AS-P06-Bodytext">
    <w:name w:val="AS-P06-Body text"/>
    <w:basedOn w:val="Normal"/>
    <w:uiPriority w:val="99"/>
    <w:qFormat/>
    <w:rsid w:val="00C7772A"/>
    <w:pPr>
      <w:suppressAutoHyphens w:val="0"/>
      <w:autoSpaceDN/>
      <w:spacing w:after="240"/>
    </w:pPr>
    <w:rPr>
      <w:color w:val="44546A" w:themeColor="text2"/>
      <w:szCs w:val="20"/>
      <w:lang w:eastAsia="en-GB"/>
    </w:rPr>
  </w:style>
  <w:style w:type="character" w:customStyle="1" w:styleId="Heading3Char">
    <w:name w:val="Heading 3 Char"/>
    <w:basedOn w:val="DefaultParagraphFont"/>
    <w:link w:val="Heading3"/>
    <w:uiPriority w:val="9"/>
    <w:rsid w:val="002D5726"/>
    <w:rPr>
      <w:rFonts w:asciiTheme="majorHAnsi" w:eastAsiaTheme="majorEastAsia" w:hAnsiTheme="majorHAnsi" w:cstheme="majorBidi"/>
      <w:color w:val="1F3763" w:themeColor="accent1" w:themeShade="7F"/>
      <w:sz w:val="24"/>
      <w:szCs w:val="24"/>
    </w:rPr>
  </w:style>
  <w:style w:type="paragraph" w:styleId="Title">
    <w:name w:val="Title"/>
    <w:basedOn w:val="Normal"/>
    <w:next w:val="Normal"/>
    <w:link w:val="TitleChar"/>
    <w:uiPriority w:val="10"/>
    <w:qFormat/>
    <w:rsid w:val="008371F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71F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6571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tif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auditscotland.sharepoint.com/sites/LanarkshireVJB/WIP/Draft%20reports/www.frc.org.uk/auditorsresponsibiliti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tif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udit-scotland.gov.uk/our-work/annual-audits"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anarkshire-vjb.gov.uk" TargetMode="External"/><Relationship Id="rId14" Type="http://schemas.openxmlformats.org/officeDocument/2006/relationships/hyperlink" Target="https://southlanarkshire.cmis.uk.com/southlanarkshire/Document.ashx?czJKcaeAi5tUFL1DTL2UE4zNRBcoShgo=V3yQ7P1LvXWzYw%2fDgobyh8bwH89AVBt7iBzdhchFElVMzUCwQwqZxw%3d%3d&amp;rUzwRPf%2bZ3zd4E7Ikn8Lyw%3d%3d=pwRE6AGJFLDNlh225F5QMaQWCtPHwdhUfCZ%2fLUQzgA2uL5jNRG4jdQ%3d%3d&amp;mCTIbCubSFfXsDGW9IXnlg%3d%3d=hFflUdN3100%3d&amp;kCx1AnS9%2fpWZQ40DXFvdEw%3d%3d=hFflUdN3100%3d&amp;uJovDxwdjMPoYv%2bAJvYtyA%3d%3d=ctNJFf55vVA%3d&amp;FgPlIEJYlotS%2bYGoBi5olA%3d%3d=NHdURQburHA%3d&amp;d9Qjj0ag1Pd993jsyOJqFvmyB7X0CSQK=ctNJFf55vVA%3d&amp;WGewmoAfeNR9xqBux0r1Q8Za60lavYmz=ctNJFf55vVA%3d&amp;WGewmoAfeNQ16B2MHuCpMRKZMwaG1PaO=ctNJFf55vVA%3d"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850E72-9E39-4EE4-8E83-DBB010996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46</Pages>
  <Words>14263</Words>
  <Characters>81300</Characters>
  <Application>Microsoft Office Word</Application>
  <DocSecurity>4</DocSecurity>
  <Lines>677</Lines>
  <Paragraphs>190</Paragraphs>
  <ScaleCrop>false</ScaleCrop>
  <HeadingPairs>
    <vt:vector size="2" baseType="variant">
      <vt:variant>
        <vt:lpstr>Title</vt:lpstr>
      </vt:variant>
      <vt:variant>
        <vt:i4>1</vt:i4>
      </vt:variant>
    </vt:vector>
  </HeadingPairs>
  <TitlesOfParts>
    <vt:vector size="1" baseType="lpstr">
      <vt:lpstr>Lanarkshire Valuation Joint Board - Unaudited accounts - 2021-22</vt:lpstr>
    </vt:vector>
  </TitlesOfParts>
  <Company/>
  <LinksUpToDate>false</LinksUpToDate>
  <CharactersWithSpaces>95373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Lanarkshire Valuation Joint Board - Audited accounts - 2021-22</dc:title>
  <dc:subject/>
  <dc:creator>South Lanarkshire Council</dc:creator>
  <dc:description/>
  <cp:lastModifiedBy>Moffat, Christine</cp:lastModifiedBy>
  <cp:revision>2</cp:revision>
  <cp:lastPrinted>2022-06-07T11:25:00Z</cp:lastPrinted>
  <dcterms:created xsi:type="dcterms:W3CDTF">2022-10-14T12:41:00Z</dcterms:created>
  <dcterms:modified xsi:type="dcterms:W3CDTF">2022-10-14T12:41:00Z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MarkAsFinal">
    <vt:bool>true</vt:bool>
  </property>
</Properties>
</file>